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1049" w14:textId="38DECCC6" w:rsidR="00035B0F" w:rsidRPr="00F56223" w:rsidRDefault="003A6F59" w:rsidP="0041213C">
      <w:pPr>
        <w:pStyle w:val="BodyText"/>
        <w:rPr>
          <w:rFonts w:ascii="Arial" w:hAnsi="Arial" w:cs="Arial"/>
        </w:rPr>
      </w:pPr>
      <w:r>
        <w:rPr>
          <w:rFonts w:ascii="Arial" w:hAnsi="Arial" w:cs="Arial"/>
        </w:rPr>
        <w:t xml:space="preserve"> </w:t>
      </w:r>
    </w:p>
    <w:p w14:paraId="419A79EA" w14:textId="77777777" w:rsidR="00035B0F" w:rsidRPr="00F56223" w:rsidRDefault="00035B0F">
      <w:pPr>
        <w:pStyle w:val="BodyText"/>
        <w:rPr>
          <w:rFonts w:ascii="Arial" w:hAnsi="Arial" w:cs="Arial"/>
          <w:sz w:val="20"/>
        </w:rPr>
      </w:pPr>
    </w:p>
    <w:p w14:paraId="5E43E517" w14:textId="77777777" w:rsidR="00035B0F" w:rsidRPr="00F56223" w:rsidRDefault="00035B0F">
      <w:pPr>
        <w:pStyle w:val="BodyText"/>
        <w:rPr>
          <w:rFonts w:ascii="Arial" w:hAnsi="Arial" w:cs="Arial"/>
          <w:sz w:val="20"/>
        </w:rPr>
      </w:pPr>
    </w:p>
    <w:p w14:paraId="6DB89073" w14:textId="77777777" w:rsidR="00035B0F" w:rsidRPr="00F56223" w:rsidRDefault="00035B0F">
      <w:pPr>
        <w:pStyle w:val="BodyText"/>
        <w:rPr>
          <w:rFonts w:ascii="Arial" w:hAnsi="Arial" w:cs="Arial"/>
          <w:sz w:val="20"/>
        </w:rPr>
      </w:pPr>
    </w:p>
    <w:p w14:paraId="5C8A7799" w14:textId="77777777" w:rsidR="00035B0F" w:rsidRPr="00F56223" w:rsidRDefault="00035B0F">
      <w:pPr>
        <w:pStyle w:val="BodyText"/>
        <w:rPr>
          <w:rFonts w:ascii="Arial" w:hAnsi="Arial" w:cs="Arial"/>
          <w:sz w:val="20"/>
        </w:rPr>
      </w:pPr>
    </w:p>
    <w:p w14:paraId="471B111B" w14:textId="77777777" w:rsidR="00035B0F" w:rsidRPr="00F56223" w:rsidRDefault="00035B0F">
      <w:pPr>
        <w:pStyle w:val="BodyText"/>
        <w:rPr>
          <w:rFonts w:ascii="Arial" w:hAnsi="Arial" w:cs="Arial"/>
          <w:sz w:val="20"/>
        </w:rPr>
      </w:pPr>
    </w:p>
    <w:p w14:paraId="746C218E" w14:textId="77777777" w:rsidR="00035B0F" w:rsidRPr="00F56223" w:rsidRDefault="00035B0F">
      <w:pPr>
        <w:pStyle w:val="BodyText"/>
        <w:rPr>
          <w:rFonts w:ascii="Arial" w:hAnsi="Arial" w:cs="Arial"/>
          <w:sz w:val="20"/>
        </w:rPr>
      </w:pPr>
    </w:p>
    <w:p w14:paraId="7350423D" w14:textId="77777777" w:rsidR="00035B0F" w:rsidRPr="00F56223" w:rsidRDefault="00035B0F">
      <w:pPr>
        <w:pStyle w:val="BodyText"/>
        <w:rPr>
          <w:rFonts w:ascii="Arial" w:hAnsi="Arial" w:cs="Arial"/>
          <w:sz w:val="20"/>
        </w:rPr>
      </w:pPr>
    </w:p>
    <w:p w14:paraId="690A0F86" w14:textId="77777777" w:rsidR="00035B0F" w:rsidRPr="00F56223" w:rsidRDefault="00035B0F">
      <w:pPr>
        <w:pStyle w:val="BodyText"/>
        <w:rPr>
          <w:rFonts w:ascii="Arial" w:hAnsi="Arial" w:cs="Arial"/>
          <w:sz w:val="20"/>
        </w:rPr>
      </w:pPr>
    </w:p>
    <w:p w14:paraId="42028123" w14:textId="39755DEA" w:rsidR="00035B0F" w:rsidRPr="00F56223" w:rsidRDefault="00035B0F">
      <w:pPr>
        <w:pStyle w:val="BodyText"/>
        <w:rPr>
          <w:rFonts w:ascii="Arial" w:hAnsi="Arial" w:cs="Arial"/>
          <w:sz w:val="20"/>
        </w:rPr>
      </w:pPr>
    </w:p>
    <w:p w14:paraId="75210669" w14:textId="77777777" w:rsidR="00035B0F" w:rsidRPr="00F56223" w:rsidRDefault="00035B0F">
      <w:pPr>
        <w:pStyle w:val="BodyText"/>
        <w:spacing w:before="1"/>
        <w:rPr>
          <w:rFonts w:ascii="Arial" w:hAnsi="Arial" w:cs="Arial"/>
          <w:sz w:val="25"/>
        </w:rPr>
      </w:pPr>
    </w:p>
    <w:p w14:paraId="0EFFDD2A" w14:textId="77777777" w:rsidR="00035B0F" w:rsidRPr="00F56223" w:rsidRDefault="005E4909" w:rsidP="004D67FC">
      <w:pPr>
        <w:spacing w:before="88" w:line="414" w:lineRule="exact"/>
        <w:ind w:left="440"/>
        <w:jc w:val="center"/>
        <w:rPr>
          <w:rFonts w:ascii="Arial" w:hAnsi="Arial" w:cs="Arial"/>
          <w:b/>
          <w:sz w:val="36"/>
        </w:rPr>
      </w:pPr>
      <w:bookmarkStart w:id="0" w:name="Wolfden_Resources_Corporation_2019_-_ANN"/>
      <w:bookmarkEnd w:id="0"/>
      <w:r w:rsidRPr="00F56223">
        <w:rPr>
          <w:rFonts w:ascii="Arial" w:hAnsi="Arial" w:cs="Arial"/>
          <w:b/>
          <w:sz w:val="36"/>
        </w:rPr>
        <w:t>Wolfden Resources Corporation</w:t>
      </w:r>
    </w:p>
    <w:p w14:paraId="08D440D8" w14:textId="69A7A0A2" w:rsidR="00035B0F" w:rsidRPr="00F56223" w:rsidRDefault="005E4909" w:rsidP="004D67FC">
      <w:pPr>
        <w:spacing w:line="322" w:lineRule="exact"/>
        <w:ind w:left="440"/>
        <w:jc w:val="center"/>
        <w:rPr>
          <w:rFonts w:ascii="Arial" w:hAnsi="Arial" w:cs="Arial"/>
          <w:sz w:val="28"/>
        </w:rPr>
      </w:pPr>
      <w:r w:rsidRPr="00F56223">
        <w:rPr>
          <w:rFonts w:ascii="Arial" w:hAnsi="Arial" w:cs="Arial"/>
          <w:sz w:val="28"/>
        </w:rPr>
        <w:t>Consolidated Financial Statements</w:t>
      </w:r>
    </w:p>
    <w:p w14:paraId="0DD2BF36" w14:textId="1F4FED81" w:rsidR="008C4857" w:rsidRPr="00F56223" w:rsidRDefault="008C4857" w:rsidP="004D67FC">
      <w:pPr>
        <w:spacing w:line="322" w:lineRule="exact"/>
        <w:ind w:left="440"/>
        <w:jc w:val="center"/>
        <w:rPr>
          <w:rFonts w:ascii="Arial" w:hAnsi="Arial" w:cs="Arial"/>
          <w:sz w:val="28"/>
        </w:rPr>
      </w:pPr>
      <w:r w:rsidRPr="00F56223">
        <w:rPr>
          <w:rFonts w:ascii="Arial" w:hAnsi="Arial" w:cs="Arial"/>
          <w:sz w:val="28"/>
        </w:rPr>
        <w:t>(Stated in Canadian Dollars)</w:t>
      </w:r>
    </w:p>
    <w:p w14:paraId="51C854DE" w14:textId="5857295B" w:rsidR="00035B0F" w:rsidRDefault="004D67FC" w:rsidP="004D67FC">
      <w:pPr>
        <w:pStyle w:val="BodyText"/>
        <w:spacing w:before="5"/>
        <w:jc w:val="center"/>
        <w:rPr>
          <w:sz w:val="24"/>
        </w:rPr>
      </w:pPr>
      <w:r>
        <w:rPr>
          <w:noProof/>
          <w:lang w:val="en-US"/>
        </w:rPr>
        <w:drawing>
          <wp:anchor distT="0" distB="0" distL="0" distR="0" simplePos="0" relativeHeight="251658240" behindDoc="0" locked="0" layoutInCell="1" allowOverlap="1" wp14:anchorId="35BC0D02" wp14:editId="1F63372F">
            <wp:simplePos x="0" y="0"/>
            <wp:positionH relativeFrom="page">
              <wp:posOffset>2096529</wp:posOffset>
            </wp:positionH>
            <wp:positionV relativeFrom="paragraph">
              <wp:posOffset>188630</wp:posOffset>
            </wp:positionV>
            <wp:extent cx="4232910" cy="70231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4232910" cy="702310"/>
                    </a:xfrm>
                    <a:prstGeom prst="rect">
                      <a:avLst/>
                    </a:prstGeom>
                  </pic:spPr>
                </pic:pic>
              </a:graphicData>
            </a:graphic>
            <wp14:sizeRelH relativeFrom="margin">
              <wp14:pctWidth>0</wp14:pctWidth>
            </wp14:sizeRelH>
            <wp14:sizeRelV relativeFrom="margin">
              <wp14:pctHeight>0</wp14:pctHeight>
            </wp14:sizeRelV>
          </wp:anchor>
        </w:drawing>
      </w:r>
    </w:p>
    <w:p w14:paraId="0D6C9D8C" w14:textId="77777777" w:rsidR="00035B0F" w:rsidRPr="00F56223" w:rsidRDefault="00035B0F" w:rsidP="004D67FC">
      <w:pPr>
        <w:pStyle w:val="BodyText"/>
        <w:spacing w:before="6"/>
        <w:jc w:val="center"/>
        <w:rPr>
          <w:rFonts w:ascii="Arial" w:hAnsi="Arial" w:cs="Arial"/>
          <w:sz w:val="30"/>
        </w:rPr>
      </w:pPr>
    </w:p>
    <w:p w14:paraId="049F2972" w14:textId="49649D39" w:rsidR="00035B0F" w:rsidRPr="00F56223" w:rsidRDefault="00DE0203" w:rsidP="004D67FC">
      <w:pPr>
        <w:ind w:left="442"/>
        <w:jc w:val="center"/>
        <w:rPr>
          <w:rFonts w:ascii="Arial" w:hAnsi="Arial" w:cs="Arial"/>
          <w:sz w:val="28"/>
        </w:rPr>
      </w:pPr>
      <w:r w:rsidRPr="002234CD">
        <w:rPr>
          <w:rFonts w:ascii="Arial" w:hAnsi="Arial" w:cs="Arial"/>
          <w:sz w:val="28"/>
        </w:rPr>
        <w:t xml:space="preserve">For the </w:t>
      </w:r>
      <w:r w:rsidR="003C21B6" w:rsidRPr="002234CD">
        <w:rPr>
          <w:rFonts w:ascii="Arial" w:hAnsi="Arial" w:cs="Arial"/>
          <w:sz w:val="28"/>
        </w:rPr>
        <w:t>years</w:t>
      </w:r>
      <w:r w:rsidR="00BB564A" w:rsidRPr="002234CD">
        <w:rPr>
          <w:rFonts w:ascii="Arial" w:hAnsi="Arial" w:cs="Arial"/>
          <w:sz w:val="28"/>
        </w:rPr>
        <w:t xml:space="preserve"> ended </w:t>
      </w:r>
      <w:r w:rsidR="00615AEE" w:rsidRPr="002234CD">
        <w:rPr>
          <w:rFonts w:ascii="Arial" w:hAnsi="Arial" w:cs="Arial"/>
          <w:sz w:val="28"/>
        </w:rPr>
        <w:t>Dec</w:t>
      </w:r>
      <w:r w:rsidRPr="002234CD">
        <w:rPr>
          <w:rFonts w:ascii="Arial" w:hAnsi="Arial" w:cs="Arial"/>
          <w:sz w:val="28"/>
        </w:rPr>
        <w:t>ember</w:t>
      </w:r>
      <w:r w:rsidR="00BB564A" w:rsidRPr="002234CD">
        <w:rPr>
          <w:rFonts w:ascii="Arial" w:hAnsi="Arial" w:cs="Arial"/>
          <w:sz w:val="28"/>
        </w:rPr>
        <w:t xml:space="preserve"> 3</w:t>
      </w:r>
      <w:r w:rsidR="00615AEE" w:rsidRPr="002234CD">
        <w:rPr>
          <w:rFonts w:ascii="Arial" w:hAnsi="Arial" w:cs="Arial"/>
          <w:sz w:val="28"/>
        </w:rPr>
        <w:t>1</w:t>
      </w:r>
      <w:r w:rsidR="00BB564A" w:rsidRPr="002234CD">
        <w:rPr>
          <w:rFonts w:ascii="Arial" w:hAnsi="Arial" w:cs="Arial"/>
          <w:sz w:val="28"/>
        </w:rPr>
        <w:t>, 202</w:t>
      </w:r>
      <w:r w:rsidR="00832DC9">
        <w:rPr>
          <w:rFonts w:ascii="Arial" w:hAnsi="Arial" w:cs="Arial"/>
          <w:sz w:val="28"/>
        </w:rPr>
        <w:t>3</w:t>
      </w:r>
      <w:r w:rsidR="00BB564A" w:rsidRPr="002234CD">
        <w:rPr>
          <w:rFonts w:ascii="Arial" w:hAnsi="Arial" w:cs="Arial"/>
          <w:sz w:val="28"/>
        </w:rPr>
        <w:t xml:space="preserve"> and 20</w:t>
      </w:r>
      <w:r w:rsidR="004B5349" w:rsidRPr="002234CD">
        <w:rPr>
          <w:rFonts w:ascii="Arial" w:hAnsi="Arial" w:cs="Arial"/>
          <w:sz w:val="28"/>
        </w:rPr>
        <w:t>2</w:t>
      </w:r>
      <w:r w:rsidR="00832DC9">
        <w:rPr>
          <w:rFonts w:ascii="Arial" w:hAnsi="Arial" w:cs="Arial"/>
          <w:sz w:val="28"/>
        </w:rPr>
        <w:t>2</w:t>
      </w:r>
    </w:p>
    <w:p w14:paraId="1854A7DE" w14:textId="77777777" w:rsidR="005833B4" w:rsidRPr="00F56223" w:rsidRDefault="005833B4" w:rsidP="004D67FC">
      <w:pPr>
        <w:jc w:val="center"/>
        <w:rPr>
          <w:rFonts w:ascii="Arial" w:hAnsi="Arial" w:cs="Arial"/>
          <w:sz w:val="28"/>
        </w:rPr>
      </w:pPr>
    </w:p>
    <w:p w14:paraId="01BB4444" w14:textId="77777777" w:rsidR="005833B4" w:rsidRPr="00F56223" w:rsidRDefault="005833B4">
      <w:pPr>
        <w:rPr>
          <w:rFonts w:ascii="Arial" w:hAnsi="Arial" w:cs="Arial"/>
          <w:sz w:val="28"/>
        </w:rPr>
      </w:pPr>
    </w:p>
    <w:p w14:paraId="2F905B5E" w14:textId="77777777" w:rsidR="005833B4" w:rsidRPr="00F56223" w:rsidRDefault="005833B4">
      <w:pPr>
        <w:rPr>
          <w:rFonts w:ascii="Arial" w:hAnsi="Arial" w:cs="Arial"/>
          <w:sz w:val="28"/>
        </w:rPr>
      </w:pPr>
    </w:p>
    <w:p w14:paraId="42EBA5D1" w14:textId="77777777" w:rsidR="005833B4" w:rsidRPr="00F56223" w:rsidRDefault="005833B4">
      <w:pPr>
        <w:rPr>
          <w:rFonts w:ascii="Arial" w:hAnsi="Arial" w:cs="Arial"/>
          <w:sz w:val="28"/>
        </w:rPr>
      </w:pPr>
    </w:p>
    <w:p w14:paraId="281F94DC" w14:textId="77777777" w:rsidR="005833B4" w:rsidRPr="00F56223" w:rsidRDefault="005833B4">
      <w:pPr>
        <w:rPr>
          <w:rFonts w:ascii="Arial" w:hAnsi="Arial" w:cs="Arial"/>
          <w:sz w:val="28"/>
        </w:rPr>
      </w:pPr>
    </w:p>
    <w:p w14:paraId="01075801" w14:textId="77777777" w:rsidR="005833B4" w:rsidRPr="00F56223" w:rsidRDefault="005833B4">
      <w:pPr>
        <w:rPr>
          <w:rFonts w:ascii="Arial" w:hAnsi="Arial" w:cs="Arial"/>
          <w:sz w:val="28"/>
        </w:rPr>
      </w:pPr>
    </w:p>
    <w:p w14:paraId="3973BAA9" w14:textId="77777777" w:rsidR="005833B4" w:rsidRPr="00F56223" w:rsidRDefault="005833B4">
      <w:pPr>
        <w:rPr>
          <w:rFonts w:ascii="Arial" w:hAnsi="Arial" w:cs="Arial"/>
          <w:sz w:val="28"/>
        </w:rPr>
      </w:pPr>
    </w:p>
    <w:p w14:paraId="720122E6" w14:textId="77777777" w:rsidR="005833B4" w:rsidRPr="00F56223" w:rsidRDefault="005833B4">
      <w:pPr>
        <w:rPr>
          <w:rFonts w:ascii="Arial" w:hAnsi="Arial" w:cs="Arial"/>
          <w:sz w:val="28"/>
        </w:rPr>
      </w:pPr>
    </w:p>
    <w:p w14:paraId="3DFE9200" w14:textId="159777CE" w:rsidR="005833B4" w:rsidRDefault="005833B4">
      <w:pPr>
        <w:rPr>
          <w:rFonts w:ascii="Arial" w:hAnsi="Arial" w:cs="Arial"/>
          <w:sz w:val="28"/>
        </w:rPr>
      </w:pPr>
    </w:p>
    <w:p w14:paraId="6EDBD062" w14:textId="01D62270" w:rsidR="00020361" w:rsidRDefault="00020361">
      <w:pPr>
        <w:rPr>
          <w:rFonts w:ascii="Arial" w:hAnsi="Arial" w:cs="Arial"/>
          <w:sz w:val="28"/>
        </w:rPr>
      </w:pPr>
    </w:p>
    <w:p w14:paraId="0EF3C648" w14:textId="77777777" w:rsidR="00020361" w:rsidRPr="00F56223" w:rsidRDefault="00020361">
      <w:pPr>
        <w:rPr>
          <w:rFonts w:ascii="Arial" w:hAnsi="Arial" w:cs="Arial"/>
          <w:sz w:val="28"/>
        </w:rPr>
      </w:pPr>
    </w:p>
    <w:p w14:paraId="62A76D10" w14:textId="77777777" w:rsidR="005833B4" w:rsidRPr="00F56223" w:rsidRDefault="005833B4">
      <w:pPr>
        <w:rPr>
          <w:rFonts w:ascii="Arial" w:hAnsi="Arial" w:cs="Arial"/>
          <w:sz w:val="28"/>
        </w:rPr>
      </w:pPr>
    </w:p>
    <w:p w14:paraId="1038F717" w14:textId="6DF7B31A" w:rsidR="00766E3A" w:rsidRDefault="00766E3A" w:rsidP="00766E3A">
      <w:pPr>
        <w:rPr>
          <w:sz w:val="28"/>
        </w:rPr>
        <w:sectPr w:rsidR="00766E3A" w:rsidSect="004867D3">
          <w:footerReference w:type="even" r:id="rId12"/>
          <w:pgSz w:w="12240" w:h="15840"/>
          <w:pgMar w:top="1503" w:right="799" w:bottom="278" w:left="1718" w:header="720" w:footer="720" w:gutter="0"/>
          <w:pgNumType w:start="0"/>
          <w:cols w:space="720"/>
        </w:sectPr>
      </w:pPr>
    </w:p>
    <w:p w14:paraId="70CE3922" w14:textId="6B88F448" w:rsidR="005833B4" w:rsidRPr="00F56223" w:rsidRDefault="005833B4">
      <w:pPr>
        <w:rPr>
          <w:rFonts w:ascii="Arial" w:hAnsi="Arial" w:cs="Arial"/>
          <w:sz w:val="16"/>
          <w:szCs w:val="16"/>
        </w:rPr>
      </w:pPr>
    </w:p>
    <w:p w14:paraId="356CD293" w14:textId="77777777" w:rsidR="005310AF" w:rsidRPr="00D90E5B" w:rsidRDefault="00A84E46" w:rsidP="005310AF">
      <w:pPr>
        <w:pStyle w:val="Heading1"/>
        <w:ind w:left="996" w:right="1198"/>
        <w:rPr>
          <w:rFonts w:ascii="Arial" w:hAnsi="Arial" w:cs="Arial"/>
          <w:bCs w:val="0"/>
        </w:rPr>
      </w:pPr>
      <w:bookmarkStart w:id="1" w:name="Audit_Report_-_Wolfden_2019.pdf"/>
      <w:bookmarkStart w:id="2" w:name="_Hlk41381506"/>
      <w:bookmarkEnd w:id="1"/>
      <w:r w:rsidRPr="00D90E5B">
        <w:rPr>
          <w:rFonts w:ascii="Arial" w:hAnsi="Arial" w:cs="Arial"/>
          <w:bCs w:val="0"/>
        </w:rPr>
        <w:t>CONSOLIDATED STATEMENTS OF FINANCIAL POSITION</w:t>
      </w:r>
    </w:p>
    <w:p w14:paraId="5B5E7C5A" w14:textId="382934F9" w:rsidR="00A84E46" w:rsidRPr="00F56223" w:rsidRDefault="00A84E46" w:rsidP="005310AF">
      <w:pPr>
        <w:spacing w:before="93"/>
        <w:ind w:left="996" w:right="1195"/>
        <w:jc w:val="center"/>
        <w:rPr>
          <w:rFonts w:ascii="Arial" w:hAnsi="Arial" w:cs="Arial"/>
          <w:sz w:val="20"/>
        </w:rPr>
      </w:pPr>
      <w:r w:rsidRPr="00D90E5B">
        <w:rPr>
          <w:rFonts w:ascii="Arial" w:hAnsi="Arial" w:cs="Arial"/>
          <w:sz w:val="20"/>
        </w:rPr>
        <w:t>(Stated in Canadian Dollars)</w:t>
      </w:r>
    </w:p>
    <w:p w14:paraId="52D5606F" w14:textId="77777777" w:rsidR="00A84E46" w:rsidRPr="00F56223" w:rsidRDefault="00A84E46" w:rsidP="00A84E46">
      <w:pPr>
        <w:pStyle w:val="BodyText"/>
        <w:rPr>
          <w:rFonts w:ascii="Arial" w:hAnsi="Arial" w:cs="Arial"/>
          <w:sz w:val="20"/>
        </w:rPr>
      </w:pPr>
    </w:p>
    <w:p w14:paraId="5EE17710" w14:textId="77777777" w:rsidR="00A84E46" w:rsidRPr="00F56223" w:rsidRDefault="00A84E46" w:rsidP="00C511BF">
      <w:pPr>
        <w:pStyle w:val="BodyText"/>
        <w:spacing w:before="6"/>
        <w:jc w:val="center"/>
        <w:rPr>
          <w:rFonts w:ascii="Arial" w:hAnsi="Arial" w:cs="Arial"/>
          <w:sz w:val="12"/>
        </w:rPr>
      </w:pPr>
    </w:p>
    <w:tbl>
      <w:tblPr>
        <w:tblW w:w="9385" w:type="dxa"/>
        <w:tblInd w:w="113" w:type="dxa"/>
        <w:tblLayout w:type="fixed"/>
        <w:tblCellMar>
          <w:left w:w="0" w:type="dxa"/>
          <w:right w:w="0" w:type="dxa"/>
        </w:tblCellMar>
        <w:tblLook w:val="01E0" w:firstRow="1" w:lastRow="1" w:firstColumn="1" w:lastColumn="1" w:noHBand="0" w:noVBand="0"/>
      </w:tblPr>
      <w:tblGrid>
        <w:gridCol w:w="5557"/>
        <w:gridCol w:w="1985"/>
        <w:gridCol w:w="1843"/>
      </w:tblGrid>
      <w:tr w:rsidR="00832DC9" w:rsidRPr="00F56223" w14:paraId="18337889" w14:textId="77777777" w:rsidTr="00D67595">
        <w:trPr>
          <w:trHeight w:val="182"/>
        </w:trPr>
        <w:tc>
          <w:tcPr>
            <w:tcW w:w="5557" w:type="dxa"/>
            <w:hideMark/>
          </w:tcPr>
          <w:p w14:paraId="0AA17A81" w14:textId="77777777" w:rsidR="00832DC9" w:rsidRPr="00F56223" w:rsidRDefault="00832DC9" w:rsidP="00832DC9">
            <w:pPr>
              <w:pStyle w:val="TableParagraph"/>
              <w:spacing w:line="162" w:lineRule="exact"/>
              <w:jc w:val="left"/>
              <w:rPr>
                <w:rFonts w:ascii="Arial" w:hAnsi="Arial" w:cs="Arial"/>
                <w:b/>
                <w:sz w:val="16"/>
              </w:rPr>
            </w:pPr>
            <w:r w:rsidRPr="00F56223">
              <w:rPr>
                <w:rFonts w:ascii="Arial" w:hAnsi="Arial" w:cs="Arial"/>
                <w:b/>
                <w:sz w:val="16"/>
              </w:rPr>
              <w:t>As at</w:t>
            </w:r>
          </w:p>
        </w:tc>
        <w:tc>
          <w:tcPr>
            <w:tcW w:w="1985" w:type="dxa"/>
            <w:hideMark/>
          </w:tcPr>
          <w:p w14:paraId="6946C35E" w14:textId="704F4DEA" w:rsidR="00832DC9" w:rsidRPr="00C52166" w:rsidRDefault="00832DC9" w:rsidP="00832DC9">
            <w:pPr>
              <w:pStyle w:val="TableParagraph"/>
              <w:spacing w:line="240" w:lineRule="auto"/>
              <w:ind w:left="151"/>
              <w:jc w:val="center"/>
              <w:rPr>
                <w:rFonts w:ascii="Arial" w:hAnsi="Arial" w:cs="Arial"/>
                <w:b/>
                <w:sz w:val="16"/>
              </w:rPr>
            </w:pPr>
            <w:r w:rsidRPr="00C52166">
              <w:rPr>
                <w:rFonts w:ascii="Arial" w:hAnsi="Arial" w:cs="Arial"/>
                <w:b/>
                <w:sz w:val="16"/>
              </w:rPr>
              <w:t>December 31, 2023</w:t>
            </w:r>
          </w:p>
          <w:p w14:paraId="666854CA" w14:textId="4EBB5A4A" w:rsidR="00832DC9" w:rsidRPr="00C52166" w:rsidRDefault="00832DC9" w:rsidP="00832DC9">
            <w:pPr>
              <w:pStyle w:val="TableParagraph"/>
              <w:spacing w:line="240" w:lineRule="auto"/>
              <w:ind w:left="151"/>
              <w:jc w:val="center"/>
              <w:rPr>
                <w:rFonts w:ascii="Arial" w:hAnsi="Arial" w:cs="Arial"/>
                <w:b/>
                <w:sz w:val="16"/>
              </w:rPr>
            </w:pPr>
            <w:r w:rsidRPr="00C52166">
              <w:rPr>
                <w:rFonts w:ascii="Arial" w:hAnsi="Arial" w:cs="Arial"/>
                <w:b/>
                <w:sz w:val="16"/>
              </w:rPr>
              <w:t>$</w:t>
            </w:r>
          </w:p>
          <w:p w14:paraId="6FE56A99" w14:textId="4D5C9945" w:rsidR="00832DC9" w:rsidRPr="00C52166" w:rsidRDefault="00832DC9" w:rsidP="00832DC9">
            <w:pPr>
              <w:pStyle w:val="TableParagraph"/>
              <w:spacing w:line="240" w:lineRule="auto"/>
              <w:ind w:left="151"/>
              <w:jc w:val="center"/>
              <w:rPr>
                <w:rFonts w:ascii="Arial" w:hAnsi="Arial" w:cs="Arial"/>
                <w:b/>
                <w:sz w:val="16"/>
              </w:rPr>
            </w:pPr>
          </w:p>
        </w:tc>
        <w:tc>
          <w:tcPr>
            <w:tcW w:w="1843" w:type="dxa"/>
            <w:hideMark/>
          </w:tcPr>
          <w:p w14:paraId="37C07CE1" w14:textId="77777777" w:rsidR="00832DC9" w:rsidRPr="002234CD" w:rsidRDefault="00832DC9" w:rsidP="00832DC9">
            <w:pPr>
              <w:pStyle w:val="TableParagraph"/>
              <w:spacing w:line="240" w:lineRule="auto"/>
              <w:ind w:left="151"/>
              <w:jc w:val="center"/>
              <w:rPr>
                <w:rFonts w:ascii="Arial" w:hAnsi="Arial" w:cs="Arial"/>
                <w:b/>
                <w:sz w:val="16"/>
              </w:rPr>
            </w:pPr>
            <w:r w:rsidRPr="002234CD">
              <w:rPr>
                <w:rFonts w:ascii="Arial" w:hAnsi="Arial" w:cs="Arial"/>
                <w:b/>
                <w:sz w:val="16"/>
              </w:rPr>
              <w:t>December 31, 2022</w:t>
            </w:r>
          </w:p>
          <w:p w14:paraId="6E83A332" w14:textId="77777777" w:rsidR="00832DC9" w:rsidRPr="002234CD" w:rsidRDefault="00832DC9" w:rsidP="00832DC9">
            <w:pPr>
              <w:pStyle w:val="TableParagraph"/>
              <w:spacing w:line="240" w:lineRule="auto"/>
              <w:ind w:left="151"/>
              <w:jc w:val="center"/>
              <w:rPr>
                <w:rFonts w:ascii="Arial" w:hAnsi="Arial" w:cs="Arial"/>
                <w:b/>
                <w:sz w:val="16"/>
              </w:rPr>
            </w:pPr>
            <w:r w:rsidRPr="002234CD">
              <w:rPr>
                <w:rFonts w:ascii="Arial" w:hAnsi="Arial" w:cs="Arial"/>
                <w:b/>
                <w:sz w:val="16"/>
              </w:rPr>
              <w:t>$</w:t>
            </w:r>
          </w:p>
          <w:p w14:paraId="4F375137" w14:textId="5B99D656" w:rsidR="00832DC9" w:rsidRPr="002234CD" w:rsidRDefault="00832DC9" w:rsidP="00832DC9">
            <w:pPr>
              <w:pStyle w:val="TableParagraph"/>
              <w:spacing w:line="240" w:lineRule="auto"/>
              <w:ind w:left="153"/>
              <w:jc w:val="center"/>
              <w:rPr>
                <w:rFonts w:ascii="Arial" w:hAnsi="Arial" w:cs="Arial"/>
                <w:sz w:val="16"/>
              </w:rPr>
            </w:pPr>
          </w:p>
        </w:tc>
      </w:tr>
      <w:tr w:rsidR="00832DC9" w:rsidRPr="00F56223" w14:paraId="218E63AC" w14:textId="77777777" w:rsidTr="00D67595">
        <w:trPr>
          <w:trHeight w:val="403"/>
        </w:trPr>
        <w:tc>
          <w:tcPr>
            <w:tcW w:w="5557" w:type="dxa"/>
            <w:tcBorders>
              <w:top w:val="single" w:sz="4" w:space="0" w:color="000000"/>
              <w:left w:val="nil"/>
              <w:bottom w:val="nil"/>
              <w:right w:val="nil"/>
            </w:tcBorders>
          </w:tcPr>
          <w:p w14:paraId="1E0145A7" w14:textId="5846258A" w:rsidR="00832DC9" w:rsidRPr="00F56223" w:rsidRDefault="00832DC9" w:rsidP="00832DC9">
            <w:pPr>
              <w:pStyle w:val="TableParagraph"/>
              <w:spacing w:line="240" w:lineRule="auto"/>
              <w:jc w:val="left"/>
              <w:rPr>
                <w:rFonts w:ascii="Arial" w:hAnsi="Arial" w:cs="Arial"/>
                <w:sz w:val="18"/>
              </w:rPr>
            </w:pPr>
            <w:r w:rsidRPr="00F56223">
              <w:rPr>
                <w:rFonts w:ascii="Arial" w:hAnsi="Arial" w:cs="Arial"/>
                <w:b/>
                <w:sz w:val="16"/>
              </w:rPr>
              <w:t>ASSETS</w:t>
            </w:r>
          </w:p>
        </w:tc>
        <w:tc>
          <w:tcPr>
            <w:tcW w:w="1985" w:type="dxa"/>
            <w:tcBorders>
              <w:top w:val="single" w:sz="4" w:space="0" w:color="000000"/>
              <w:left w:val="nil"/>
              <w:bottom w:val="nil"/>
              <w:right w:val="nil"/>
            </w:tcBorders>
          </w:tcPr>
          <w:p w14:paraId="31D9E140" w14:textId="77777777" w:rsidR="00832DC9" w:rsidRPr="00C52166" w:rsidRDefault="00832DC9" w:rsidP="00832DC9">
            <w:pPr>
              <w:pStyle w:val="TableParagraph"/>
              <w:spacing w:line="240" w:lineRule="auto"/>
              <w:rPr>
                <w:rFonts w:ascii="Arial" w:hAnsi="Arial" w:cs="Arial"/>
                <w:sz w:val="16"/>
              </w:rPr>
            </w:pPr>
          </w:p>
        </w:tc>
        <w:tc>
          <w:tcPr>
            <w:tcW w:w="1843" w:type="dxa"/>
            <w:tcBorders>
              <w:top w:val="single" w:sz="4" w:space="0" w:color="000000"/>
              <w:left w:val="nil"/>
              <w:bottom w:val="nil"/>
              <w:right w:val="nil"/>
            </w:tcBorders>
          </w:tcPr>
          <w:p w14:paraId="0EA315F7" w14:textId="77777777" w:rsidR="00832DC9" w:rsidRPr="002234CD" w:rsidRDefault="00832DC9" w:rsidP="00832DC9">
            <w:pPr>
              <w:pStyle w:val="TableParagraph"/>
              <w:spacing w:line="240" w:lineRule="auto"/>
              <w:ind w:right="312"/>
              <w:rPr>
                <w:rFonts w:ascii="Arial" w:hAnsi="Arial" w:cs="Arial"/>
                <w:sz w:val="16"/>
              </w:rPr>
            </w:pPr>
          </w:p>
        </w:tc>
      </w:tr>
      <w:tr w:rsidR="00832DC9" w:rsidRPr="00C95165" w14:paraId="08F5CCBB" w14:textId="77777777" w:rsidTr="0033725E">
        <w:trPr>
          <w:trHeight w:val="20"/>
        </w:trPr>
        <w:tc>
          <w:tcPr>
            <w:tcW w:w="5557" w:type="dxa"/>
            <w:shd w:val="clear" w:color="auto" w:fill="auto"/>
            <w:vAlign w:val="bottom"/>
            <w:hideMark/>
          </w:tcPr>
          <w:p w14:paraId="6E928723" w14:textId="77777777" w:rsidR="00832DC9" w:rsidRPr="00A62B71" w:rsidRDefault="00832DC9" w:rsidP="00832DC9">
            <w:pPr>
              <w:pStyle w:val="TableParagraph"/>
              <w:spacing w:before="90" w:line="240" w:lineRule="auto"/>
              <w:jc w:val="left"/>
              <w:rPr>
                <w:rFonts w:ascii="Arial" w:hAnsi="Arial" w:cs="Arial"/>
                <w:b/>
                <w:sz w:val="16"/>
              </w:rPr>
            </w:pPr>
            <w:r w:rsidRPr="00A62B71">
              <w:rPr>
                <w:rFonts w:ascii="Arial" w:hAnsi="Arial" w:cs="Arial"/>
                <w:b/>
                <w:sz w:val="16"/>
              </w:rPr>
              <w:t>Current assets</w:t>
            </w:r>
          </w:p>
          <w:p w14:paraId="065738C3" w14:textId="15C3265D" w:rsidR="00832DC9" w:rsidRPr="00A62B71" w:rsidRDefault="00832DC9" w:rsidP="00832DC9">
            <w:pPr>
              <w:pStyle w:val="TableParagraph"/>
              <w:spacing w:before="1" w:line="167" w:lineRule="exact"/>
              <w:jc w:val="left"/>
              <w:rPr>
                <w:rFonts w:ascii="Arial" w:hAnsi="Arial" w:cs="Arial"/>
                <w:sz w:val="16"/>
              </w:rPr>
            </w:pPr>
            <w:r w:rsidRPr="00A62B71">
              <w:rPr>
                <w:rFonts w:ascii="Arial" w:hAnsi="Arial" w:cs="Arial"/>
                <w:sz w:val="16"/>
              </w:rPr>
              <w:t xml:space="preserve">Cash and cash equivalents </w:t>
            </w:r>
          </w:p>
        </w:tc>
        <w:tc>
          <w:tcPr>
            <w:tcW w:w="1985" w:type="dxa"/>
            <w:shd w:val="clear" w:color="auto" w:fill="auto"/>
            <w:vAlign w:val="center"/>
          </w:tcPr>
          <w:p w14:paraId="7588C044" w14:textId="77777777" w:rsidR="00A62B71" w:rsidRDefault="00832DC9" w:rsidP="00A62B71">
            <w:pPr>
              <w:pStyle w:val="TableParagraph"/>
              <w:spacing w:line="240" w:lineRule="auto"/>
              <w:ind w:right="312"/>
              <w:rPr>
                <w:rFonts w:ascii="Arial" w:hAnsi="Arial" w:cs="Arial"/>
                <w:b/>
                <w:bCs/>
                <w:sz w:val="16"/>
                <w:szCs w:val="16"/>
              </w:rPr>
            </w:pPr>
            <w:r w:rsidRPr="00A62B71">
              <w:rPr>
                <w:rFonts w:ascii="Arial" w:hAnsi="Arial" w:cs="Arial"/>
                <w:b/>
                <w:bCs/>
                <w:sz w:val="16"/>
                <w:szCs w:val="16"/>
              </w:rPr>
              <w:t xml:space="preserve">                   </w:t>
            </w:r>
          </w:p>
          <w:p w14:paraId="62BDDBE2" w14:textId="77777777" w:rsidR="00A62B71" w:rsidRDefault="00A62B71" w:rsidP="00A62B71">
            <w:pPr>
              <w:pStyle w:val="TableParagraph"/>
              <w:spacing w:line="240" w:lineRule="auto"/>
              <w:ind w:right="312"/>
              <w:rPr>
                <w:rFonts w:ascii="Arial" w:hAnsi="Arial" w:cs="Arial"/>
                <w:b/>
                <w:bCs/>
                <w:sz w:val="16"/>
                <w:szCs w:val="16"/>
              </w:rPr>
            </w:pPr>
          </w:p>
          <w:p w14:paraId="5A4E1C2A" w14:textId="1A44F6D4" w:rsidR="00832DC9" w:rsidRPr="00A62B71" w:rsidRDefault="0097553A" w:rsidP="00A62B71">
            <w:pPr>
              <w:pStyle w:val="TableParagraph"/>
              <w:spacing w:line="240" w:lineRule="auto"/>
              <w:ind w:right="312"/>
              <w:rPr>
                <w:rFonts w:ascii="Arial" w:hAnsi="Arial" w:cs="Arial"/>
                <w:b/>
                <w:bCs/>
                <w:sz w:val="16"/>
                <w:szCs w:val="16"/>
              </w:rPr>
            </w:pPr>
            <w:r w:rsidRPr="00A62B71">
              <w:rPr>
                <w:rFonts w:ascii="Arial" w:hAnsi="Arial" w:cs="Arial"/>
                <w:b/>
                <w:bCs/>
                <w:sz w:val="16"/>
                <w:szCs w:val="16"/>
              </w:rPr>
              <w:t>1</w:t>
            </w:r>
            <w:r w:rsidR="00832DC9" w:rsidRPr="00A62B71">
              <w:rPr>
                <w:rFonts w:ascii="Arial" w:hAnsi="Arial" w:cs="Arial"/>
                <w:b/>
                <w:bCs/>
                <w:sz w:val="16"/>
                <w:szCs w:val="16"/>
              </w:rPr>
              <w:t>,</w:t>
            </w:r>
            <w:r w:rsidRPr="00A62B71">
              <w:rPr>
                <w:rFonts w:ascii="Arial" w:hAnsi="Arial" w:cs="Arial"/>
                <w:b/>
                <w:bCs/>
                <w:sz w:val="16"/>
                <w:szCs w:val="16"/>
              </w:rPr>
              <w:t>0</w:t>
            </w:r>
            <w:r w:rsidR="000C7BA1" w:rsidRPr="00A62B71">
              <w:rPr>
                <w:rFonts w:ascii="Arial" w:hAnsi="Arial" w:cs="Arial"/>
                <w:b/>
                <w:bCs/>
                <w:sz w:val="16"/>
                <w:szCs w:val="16"/>
              </w:rPr>
              <w:t>96</w:t>
            </w:r>
            <w:r w:rsidR="00832DC9" w:rsidRPr="00A62B71">
              <w:rPr>
                <w:rFonts w:ascii="Arial" w:hAnsi="Arial" w:cs="Arial"/>
                <w:b/>
                <w:bCs/>
                <w:sz w:val="16"/>
                <w:szCs w:val="16"/>
              </w:rPr>
              <w:t>,</w:t>
            </w:r>
            <w:r w:rsidR="000C7BA1" w:rsidRPr="00A62B71">
              <w:rPr>
                <w:rFonts w:ascii="Arial" w:hAnsi="Arial" w:cs="Arial"/>
                <w:b/>
                <w:bCs/>
                <w:sz w:val="16"/>
                <w:szCs w:val="16"/>
              </w:rPr>
              <w:t>300</w:t>
            </w:r>
          </w:p>
        </w:tc>
        <w:tc>
          <w:tcPr>
            <w:tcW w:w="1843" w:type="dxa"/>
            <w:vAlign w:val="center"/>
          </w:tcPr>
          <w:p w14:paraId="0A8E8FF5" w14:textId="77777777" w:rsidR="00832DC9" w:rsidRPr="00A62B71" w:rsidRDefault="00832DC9" w:rsidP="00832DC9">
            <w:pPr>
              <w:pStyle w:val="TableParagraph"/>
              <w:spacing w:line="240" w:lineRule="auto"/>
              <w:ind w:right="312"/>
              <w:rPr>
                <w:rFonts w:ascii="Arial" w:hAnsi="Arial" w:cs="Arial"/>
                <w:bCs/>
                <w:sz w:val="16"/>
                <w:szCs w:val="16"/>
              </w:rPr>
            </w:pPr>
            <w:r w:rsidRPr="00A62B71">
              <w:rPr>
                <w:rFonts w:ascii="Arial" w:hAnsi="Arial" w:cs="Arial"/>
                <w:bCs/>
                <w:sz w:val="16"/>
                <w:szCs w:val="16"/>
              </w:rPr>
              <w:t xml:space="preserve">                    </w:t>
            </w:r>
          </w:p>
          <w:p w14:paraId="060CC3EF" w14:textId="77777777" w:rsidR="00A62B71" w:rsidRDefault="00A62B71" w:rsidP="00832DC9">
            <w:pPr>
              <w:pStyle w:val="TableParagraph"/>
              <w:spacing w:line="240" w:lineRule="auto"/>
              <w:ind w:right="312"/>
              <w:rPr>
                <w:rFonts w:ascii="Arial" w:hAnsi="Arial" w:cs="Arial"/>
                <w:bCs/>
                <w:sz w:val="16"/>
                <w:szCs w:val="16"/>
              </w:rPr>
            </w:pPr>
          </w:p>
          <w:p w14:paraId="3FED2D76" w14:textId="32C56AA9" w:rsidR="00832DC9" w:rsidRPr="00A62B71" w:rsidRDefault="00832DC9" w:rsidP="00A62B71">
            <w:pPr>
              <w:pStyle w:val="TableParagraph"/>
              <w:spacing w:line="240" w:lineRule="auto"/>
              <w:ind w:right="312"/>
              <w:rPr>
                <w:rFonts w:ascii="Arial" w:hAnsi="Arial" w:cs="Arial"/>
                <w:bCs/>
                <w:sz w:val="16"/>
              </w:rPr>
            </w:pPr>
            <w:r w:rsidRPr="00A62B71">
              <w:rPr>
                <w:rFonts w:ascii="Arial" w:hAnsi="Arial" w:cs="Arial"/>
                <w:bCs/>
                <w:sz w:val="16"/>
                <w:szCs w:val="16"/>
              </w:rPr>
              <w:t>3,511,011</w:t>
            </w:r>
          </w:p>
        </w:tc>
      </w:tr>
      <w:tr w:rsidR="00832DC9" w:rsidRPr="00C95165" w14:paraId="20B1C62D" w14:textId="77777777" w:rsidTr="00A62B71">
        <w:trPr>
          <w:trHeight w:val="198"/>
        </w:trPr>
        <w:tc>
          <w:tcPr>
            <w:tcW w:w="5557" w:type="dxa"/>
            <w:tcBorders>
              <w:bottom w:val="single" w:sz="4" w:space="0" w:color="FFFFFF" w:themeColor="background1"/>
            </w:tcBorders>
            <w:shd w:val="clear" w:color="auto" w:fill="auto"/>
            <w:vAlign w:val="bottom"/>
            <w:hideMark/>
          </w:tcPr>
          <w:p w14:paraId="58BBDE1A" w14:textId="4B8532D2" w:rsidR="00832DC9" w:rsidRPr="00A62B71" w:rsidRDefault="00832DC9" w:rsidP="00A62B71">
            <w:pPr>
              <w:pStyle w:val="TableParagraph"/>
              <w:jc w:val="left"/>
              <w:rPr>
                <w:rFonts w:ascii="Arial" w:hAnsi="Arial" w:cs="Arial"/>
                <w:sz w:val="16"/>
              </w:rPr>
            </w:pPr>
            <w:r w:rsidRPr="00A62B71">
              <w:rPr>
                <w:rFonts w:ascii="Arial" w:hAnsi="Arial" w:cs="Arial"/>
                <w:sz w:val="16"/>
              </w:rPr>
              <w:t xml:space="preserve">Amounts receivable </w:t>
            </w:r>
            <w:r w:rsidRPr="00A62B71">
              <w:rPr>
                <w:rFonts w:ascii="Arial" w:hAnsi="Arial" w:cs="Arial"/>
                <w:i/>
                <w:iCs/>
                <w:sz w:val="16"/>
              </w:rPr>
              <w:t>[note 5]</w:t>
            </w:r>
          </w:p>
        </w:tc>
        <w:tc>
          <w:tcPr>
            <w:tcW w:w="1985" w:type="dxa"/>
            <w:tcBorders>
              <w:bottom w:val="single" w:sz="4" w:space="0" w:color="FFFFFF" w:themeColor="background1"/>
            </w:tcBorders>
            <w:shd w:val="clear" w:color="auto" w:fill="auto"/>
            <w:vAlign w:val="center"/>
          </w:tcPr>
          <w:p w14:paraId="3A445FD1" w14:textId="715FFA46" w:rsidR="00832DC9" w:rsidRPr="00A62B71" w:rsidRDefault="00832DC9" w:rsidP="00832DC9">
            <w:pPr>
              <w:pStyle w:val="TableParagraph"/>
              <w:ind w:right="314"/>
              <w:rPr>
                <w:rFonts w:ascii="Arial" w:hAnsi="Arial" w:cs="Arial"/>
                <w:b/>
                <w:bCs/>
                <w:sz w:val="16"/>
                <w:szCs w:val="16"/>
              </w:rPr>
            </w:pPr>
            <w:r w:rsidRPr="00A62B71">
              <w:rPr>
                <w:rFonts w:ascii="Arial" w:hAnsi="Arial" w:cs="Arial"/>
                <w:b/>
                <w:bCs/>
                <w:sz w:val="16"/>
                <w:szCs w:val="16"/>
              </w:rPr>
              <w:t xml:space="preserve">                        </w:t>
            </w:r>
            <w:r w:rsidR="000C7BA1" w:rsidRPr="00A62B71">
              <w:rPr>
                <w:rFonts w:ascii="Arial" w:hAnsi="Arial" w:cs="Arial"/>
                <w:b/>
                <w:bCs/>
                <w:sz w:val="16"/>
                <w:szCs w:val="16"/>
              </w:rPr>
              <w:t>88</w:t>
            </w:r>
            <w:r w:rsidRPr="00A62B71">
              <w:rPr>
                <w:rFonts w:ascii="Arial" w:hAnsi="Arial" w:cs="Arial"/>
                <w:b/>
                <w:bCs/>
                <w:sz w:val="16"/>
                <w:szCs w:val="16"/>
              </w:rPr>
              <w:t>,</w:t>
            </w:r>
            <w:r w:rsidR="000C7BA1" w:rsidRPr="00A62B71">
              <w:rPr>
                <w:rFonts w:ascii="Arial" w:hAnsi="Arial" w:cs="Arial"/>
                <w:b/>
                <w:bCs/>
                <w:sz w:val="16"/>
                <w:szCs w:val="16"/>
              </w:rPr>
              <w:t>548</w:t>
            </w:r>
          </w:p>
        </w:tc>
        <w:tc>
          <w:tcPr>
            <w:tcW w:w="1843" w:type="dxa"/>
            <w:tcBorders>
              <w:bottom w:val="single" w:sz="4" w:space="0" w:color="FFFFFF" w:themeColor="background1"/>
            </w:tcBorders>
            <w:vAlign w:val="center"/>
            <w:hideMark/>
          </w:tcPr>
          <w:p w14:paraId="6C1C9CA1" w14:textId="6D218191" w:rsidR="00832DC9" w:rsidRPr="00A62B71" w:rsidRDefault="00832DC9" w:rsidP="00A62B71">
            <w:pPr>
              <w:pStyle w:val="TableParagraph"/>
              <w:spacing w:line="240" w:lineRule="auto"/>
              <w:ind w:right="312"/>
              <w:jc w:val="left"/>
              <w:rPr>
                <w:rFonts w:ascii="Arial" w:hAnsi="Arial" w:cs="Arial"/>
                <w:bCs/>
                <w:sz w:val="16"/>
              </w:rPr>
            </w:pPr>
            <w:r w:rsidRPr="00A62B71">
              <w:rPr>
                <w:rFonts w:ascii="Arial" w:hAnsi="Arial" w:cs="Arial"/>
                <w:bCs/>
                <w:sz w:val="16"/>
                <w:szCs w:val="16"/>
              </w:rPr>
              <w:t xml:space="preserve">                     134,134</w:t>
            </w:r>
          </w:p>
        </w:tc>
      </w:tr>
      <w:tr w:rsidR="00832DC9" w:rsidRPr="00C95165" w14:paraId="20CE712D" w14:textId="77777777" w:rsidTr="0033725E">
        <w:trPr>
          <w:trHeight w:val="184"/>
        </w:trPr>
        <w:tc>
          <w:tcPr>
            <w:tcW w:w="5557" w:type="dxa"/>
            <w:tcBorders>
              <w:top w:val="single" w:sz="4" w:space="0" w:color="FFFFFF" w:themeColor="background1"/>
            </w:tcBorders>
            <w:shd w:val="clear" w:color="auto" w:fill="auto"/>
            <w:vAlign w:val="bottom"/>
            <w:hideMark/>
          </w:tcPr>
          <w:p w14:paraId="5F0C5F39" w14:textId="09E73857" w:rsidR="00832DC9" w:rsidRPr="00F56223" w:rsidRDefault="00832DC9" w:rsidP="00832DC9">
            <w:pPr>
              <w:pStyle w:val="TableParagraph"/>
              <w:jc w:val="left"/>
              <w:rPr>
                <w:rFonts w:ascii="Arial" w:hAnsi="Arial" w:cs="Arial"/>
                <w:sz w:val="16"/>
              </w:rPr>
            </w:pPr>
            <w:r w:rsidRPr="00F56223">
              <w:rPr>
                <w:rFonts w:ascii="Arial" w:hAnsi="Arial" w:cs="Arial"/>
                <w:sz w:val="16"/>
              </w:rPr>
              <w:t>Prepaid expenses</w:t>
            </w:r>
          </w:p>
        </w:tc>
        <w:tc>
          <w:tcPr>
            <w:tcW w:w="1985" w:type="dxa"/>
            <w:tcBorders>
              <w:top w:val="single" w:sz="4" w:space="0" w:color="FFFFFF" w:themeColor="background1"/>
            </w:tcBorders>
            <w:shd w:val="clear" w:color="auto" w:fill="auto"/>
          </w:tcPr>
          <w:p w14:paraId="78ADF45B" w14:textId="2206E1B4" w:rsidR="00832DC9" w:rsidRPr="00C52166" w:rsidRDefault="00832DC9" w:rsidP="00832DC9">
            <w:pPr>
              <w:pStyle w:val="TableParagraph"/>
              <w:ind w:right="314"/>
              <w:rPr>
                <w:rFonts w:ascii="Arial" w:hAnsi="Arial" w:cs="Arial"/>
                <w:b/>
                <w:bCs/>
                <w:sz w:val="16"/>
                <w:szCs w:val="16"/>
              </w:rPr>
            </w:pPr>
            <w:r w:rsidRPr="00C52166">
              <w:rPr>
                <w:rFonts w:ascii="Arial" w:hAnsi="Arial" w:cs="Arial"/>
                <w:b/>
                <w:bCs/>
                <w:sz w:val="16"/>
                <w:szCs w:val="16"/>
              </w:rPr>
              <w:t>1</w:t>
            </w:r>
            <w:r w:rsidR="000C7BA1" w:rsidRPr="00C52166">
              <w:rPr>
                <w:rFonts w:ascii="Arial" w:hAnsi="Arial" w:cs="Arial"/>
                <w:b/>
                <w:bCs/>
                <w:sz w:val="16"/>
                <w:szCs w:val="16"/>
              </w:rPr>
              <w:t>5</w:t>
            </w:r>
            <w:r w:rsidRPr="00C52166">
              <w:rPr>
                <w:rFonts w:ascii="Arial" w:hAnsi="Arial" w:cs="Arial"/>
                <w:b/>
                <w:bCs/>
                <w:sz w:val="16"/>
                <w:szCs w:val="16"/>
              </w:rPr>
              <w:t>,</w:t>
            </w:r>
            <w:r w:rsidR="000C7BA1" w:rsidRPr="00C52166">
              <w:rPr>
                <w:rFonts w:ascii="Arial" w:hAnsi="Arial" w:cs="Arial"/>
                <w:b/>
                <w:bCs/>
                <w:sz w:val="16"/>
                <w:szCs w:val="16"/>
              </w:rPr>
              <w:t>79</w:t>
            </w:r>
            <w:r w:rsidR="00A7581D">
              <w:rPr>
                <w:rFonts w:ascii="Arial" w:hAnsi="Arial" w:cs="Arial"/>
                <w:b/>
                <w:bCs/>
                <w:sz w:val="16"/>
                <w:szCs w:val="16"/>
              </w:rPr>
              <w:t>4</w:t>
            </w:r>
          </w:p>
        </w:tc>
        <w:tc>
          <w:tcPr>
            <w:tcW w:w="1843" w:type="dxa"/>
            <w:tcBorders>
              <w:top w:val="single" w:sz="4" w:space="0" w:color="FFFFFF" w:themeColor="background1"/>
            </w:tcBorders>
            <w:hideMark/>
          </w:tcPr>
          <w:p w14:paraId="4484416B" w14:textId="4C5AB2AF" w:rsidR="00832DC9" w:rsidRPr="00832DC9" w:rsidRDefault="00832DC9" w:rsidP="00832DC9">
            <w:pPr>
              <w:pStyle w:val="TableParagraph"/>
              <w:spacing w:line="240" w:lineRule="auto"/>
              <w:ind w:right="312"/>
              <w:rPr>
                <w:rFonts w:ascii="Arial" w:hAnsi="Arial" w:cs="Arial"/>
                <w:bCs/>
                <w:sz w:val="16"/>
              </w:rPr>
            </w:pPr>
            <w:r w:rsidRPr="00832DC9">
              <w:rPr>
                <w:rFonts w:ascii="Arial" w:hAnsi="Arial" w:cs="Arial"/>
                <w:bCs/>
                <w:sz w:val="16"/>
                <w:szCs w:val="16"/>
              </w:rPr>
              <w:t>17,535</w:t>
            </w:r>
          </w:p>
        </w:tc>
      </w:tr>
      <w:tr w:rsidR="00832DC9" w:rsidRPr="00C95165" w14:paraId="458A811B" w14:textId="77777777" w:rsidTr="004B5349">
        <w:trPr>
          <w:trHeight w:val="217"/>
        </w:trPr>
        <w:tc>
          <w:tcPr>
            <w:tcW w:w="5557" w:type="dxa"/>
            <w:tcBorders>
              <w:top w:val="single" w:sz="4" w:space="0" w:color="000000"/>
              <w:left w:val="nil"/>
              <w:bottom w:val="single" w:sz="4" w:space="0" w:color="000000"/>
              <w:right w:val="nil"/>
            </w:tcBorders>
            <w:shd w:val="clear" w:color="auto" w:fill="auto"/>
            <w:vAlign w:val="bottom"/>
            <w:hideMark/>
          </w:tcPr>
          <w:p w14:paraId="088724A7" w14:textId="77777777" w:rsidR="00832DC9" w:rsidRPr="00F56223" w:rsidRDefault="00832DC9" w:rsidP="00832DC9">
            <w:pPr>
              <w:pStyle w:val="TableParagraph"/>
              <w:spacing w:before="2" w:line="240" w:lineRule="auto"/>
              <w:jc w:val="left"/>
              <w:rPr>
                <w:rFonts w:ascii="Arial" w:hAnsi="Arial" w:cs="Arial"/>
                <w:b/>
                <w:sz w:val="16"/>
              </w:rPr>
            </w:pPr>
            <w:r w:rsidRPr="00F56223">
              <w:rPr>
                <w:rFonts w:ascii="Arial" w:hAnsi="Arial" w:cs="Arial"/>
                <w:b/>
                <w:sz w:val="16"/>
              </w:rPr>
              <w:t>Total current assets</w:t>
            </w:r>
          </w:p>
        </w:tc>
        <w:tc>
          <w:tcPr>
            <w:tcW w:w="1985" w:type="dxa"/>
            <w:tcBorders>
              <w:top w:val="single" w:sz="4" w:space="0" w:color="000000"/>
              <w:left w:val="nil"/>
              <w:bottom w:val="single" w:sz="4" w:space="0" w:color="000000"/>
              <w:right w:val="nil"/>
            </w:tcBorders>
            <w:shd w:val="clear" w:color="auto" w:fill="auto"/>
            <w:vAlign w:val="bottom"/>
          </w:tcPr>
          <w:p w14:paraId="4395C30E" w14:textId="7D0D8CC8" w:rsidR="00832DC9" w:rsidRPr="00C52166" w:rsidRDefault="000C7BA1" w:rsidP="00832DC9">
            <w:pPr>
              <w:pStyle w:val="TableParagraph"/>
              <w:spacing w:before="2" w:line="240" w:lineRule="auto"/>
              <w:ind w:right="314"/>
              <w:rPr>
                <w:rFonts w:ascii="Arial" w:hAnsi="Arial" w:cs="Arial"/>
                <w:b/>
                <w:bCs/>
                <w:sz w:val="16"/>
              </w:rPr>
            </w:pPr>
            <w:r w:rsidRPr="00C52166">
              <w:rPr>
                <w:rFonts w:ascii="Arial" w:hAnsi="Arial" w:cs="Arial"/>
                <w:b/>
                <w:bCs/>
                <w:sz w:val="16"/>
              </w:rPr>
              <w:t>1</w:t>
            </w:r>
            <w:r w:rsidR="00832DC9" w:rsidRPr="00C52166">
              <w:rPr>
                <w:rFonts w:ascii="Arial" w:hAnsi="Arial" w:cs="Arial"/>
                <w:b/>
                <w:bCs/>
                <w:sz w:val="16"/>
              </w:rPr>
              <w:t>,</w:t>
            </w:r>
            <w:r w:rsidRPr="00C52166">
              <w:rPr>
                <w:rFonts w:ascii="Arial" w:hAnsi="Arial" w:cs="Arial"/>
                <w:b/>
                <w:bCs/>
                <w:sz w:val="16"/>
              </w:rPr>
              <w:t>200</w:t>
            </w:r>
            <w:r w:rsidR="00832DC9" w:rsidRPr="00C52166">
              <w:rPr>
                <w:rFonts w:ascii="Arial" w:hAnsi="Arial" w:cs="Arial"/>
                <w:b/>
                <w:bCs/>
                <w:sz w:val="16"/>
              </w:rPr>
              <w:t>,6</w:t>
            </w:r>
            <w:r w:rsidRPr="00C52166">
              <w:rPr>
                <w:rFonts w:ascii="Arial" w:hAnsi="Arial" w:cs="Arial"/>
                <w:b/>
                <w:bCs/>
                <w:sz w:val="16"/>
              </w:rPr>
              <w:t>4</w:t>
            </w:r>
            <w:r w:rsidR="00A7581D">
              <w:rPr>
                <w:rFonts w:ascii="Arial" w:hAnsi="Arial" w:cs="Arial"/>
                <w:b/>
                <w:bCs/>
                <w:sz w:val="16"/>
              </w:rPr>
              <w:t>2</w:t>
            </w:r>
          </w:p>
        </w:tc>
        <w:tc>
          <w:tcPr>
            <w:tcW w:w="1843" w:type="dxa"/>
            <w:tcBorders>
              <w:top w:val="single" w:sz="4" w:space="0" w:color="000000"/>
              <w:left w:val="nil"/>
              <w:bottom w:val="single" w:sz="4" w:space="0" w:color="000000"/>
              <w:right w:val="nil"/>
            </w:tcBorders>
            <w:vAlign w:val="bottom"/>
            <w:hideMark/>
          </w:tcPr>
          <w:p w14:paraId="6368C640" w14:textId="7EC2BA84" w:rsidR="00832DC9" w:rsidRPr="00832DC9" w:rsidRDefault="00832DC9" w:rsidP="00832DC9">
            <w:pPr>
              <w:pStyle w:val="TableParagraph"/>
              <w:spacing w:before="2" w:line="240" w:lineRule="auto"/>
              <w:ind w:right="312"/>
              <w:rPr>
                <w:rFonts w:ascii="Arial" w:hAnsi="Arial" w:cs="Arial"/>
                <w:bCs/>
                <w:sz w:val="16"/>
              </w:rPr>
            </w:pPr>
            <w:r w:rsidRPr="00832DC9">
              <w:rPr>
                <w:rFonts w:ascii="Arial" w:hAnsi="Arial" w:cs="Arial"/>
                <w:bCs/>
                <w:sz w:val="16"/>
              </w:rPr>
              <w:t>3,662,680</w:t>
            </w:r>
          </w:p>
        </w:tc>
      </w:tr>
      <w:tr w:rsidR="00832DC9" w:rsidRPr="00C95165" w14:paraId="0F0C9E6E" w14:textId="77777777" w:rsidTr="00F54927">
        <w:trPr>
          <w:trHeight w:val="425"/>
        </w:trPr>
        <w:tc>
          <w:tcPr>
            <w:tcW w:w="5557" w:type="dxa"/>
            <w:tcBorders>
              <w:bottom w:val="single" w:sz="4" w:space="0" w:color="auto"/>
            </w:tcBorders>
            <w:hideMark/>
          </w:tcPr>
          <w:p w14:paraId="7B1EEEB6" w14:textId="19B1958F" w:rsidR="00832DC9" w:rsidRPr="00F56223" w:rsidRDefault="00832DC9" w:rsidP="00832DC9">
            <w:pPr>
              <w:pStyle w:val="TableParagraph"/>
              <w:spacing w:before="90" w:line="240" w:lineRule="auto"/>
              <w:jc w:val="left"/>
              <w:rPr>
                <w:rFonts w:ascii="Arial" w:hAnsi="Arial" w:cs="Arial"/>
                <w:b/>
                <w:sz w:val="16"/>
              </w:rPr>
            </w:pPr>
            <w:r w:rsidRPr="00F56223">
              <w:rPr>
                <w:rFonts w:ascii="Arial" w:hAnsi="Arial" w:cs="Arial"/>
                <w:b/>
                <w:sz w:val="16"/>
              </w:rPr>
              <w:t>Non-current assets</w:t>
            </w:r>
          </w:p>
          <w:p w14:paraId="6CB8B174" w14:textId="7DB35135" w:rsidR="00832DC9" w:rsidRPr="00F56223" w:rsidRDefault="00832DC9" w:rsidP="00832DC9">
            <w:pPr>
              <w:pStyle w:val="TableParagraph"/>
              <w:spacing w:before="1" w:line="167" w:lineRule="exact"/>
              <w:jc w:val="left"/>
              <w:rPr>
                <w:rFonts w:ascii="Arial" w:hAnsi="Arial" w:cs="Arial"/>
                <w:sz w:val="16"/>
              </w:rPr>
            </w:pPr>
            <w:r w:rsidRPr="00F56223">
              <w:rPr>
                <w:rFonts w:ascii="Arial" w:hAnsi="Arial" w:cs="Arial"/>
                <w:sz w:val="16"/>
              </w:rPr>
              <w:t xml:space="preserve">Equipment </w:t>
            </w:r>
            <w:r w:rsidRPr="00795F41">
              <w:rPr>
                <w:rFonts w:ascii="Arial" w:hAnsi="Arial" w:cs="Arial"/>
                <w:i/>
                <w:iCs/>
                <w:sz w:val="16"/>
              </w:rPr>
              <w:t xml:space="preserve">[note </w:t>
            </w:r>
            <w:r>
              <w:rPr>
                <w:rFonts w:ascii="Arial" w:hAnsi="Arial" w:cs="Arial"/>
                <w:i/>
                <w:iCs/>
                <w:sz w:val="16"/>
              </w:rPr>
              <w:t>6</w:t>
            </w:r>
            <w:r w:rsidRPr="00795F41">
              <w:rPr>
                <w:rFonts w:ascii="Arial" w:hAnsi="Arial" w:cs="Arial"/>
                <w:i/>
                <w:iCs/>
                <w:sz w:val="16"/>
              </w:rPr>
              <w:t>]</w:t>
            </w:r>
          </w:p>
        </w:tc>
        <w:tc>
          <w:tcPr>
            <w:tcW w:w="1985" w:type="dxa"/>
            <w:tcBorders>
              <w:bottom w:val="single" w:sz="4" w:space="0" w:color="auto"/>
            </w:tcBorders>
            <w:vAlign w:val="bottom"/>
          </w:tcPr>
          <w:p w14:paraId="3B3AB8ED" w14:textId="5D789E2B" w:rsidR="00832DC9" w:rsidRPr="00C52166" w:rsidRDefault="000C7BA1" w:rsidP="00832DC9">
            <w:pPr>
              <w:pStyle w:val="TableParagraph"/>
              <w:spacing w:line="240" w:lineRule="auto"/>
              <w:ind w:right="312"/>
              <w:rPr>
                <w:rFonts w:ascii="Arial" w:hAnsi="Arial" w:cs="Arial"/>
                <w:b/>
                <w:bCs/>
                <w:sz w:val="16"/>
              </w:rPr>
            </w:pPr>
            <w:r w:rsidRPr="00C52166">
              <w:rPr>
                <w:rFonts w:ascii="Arial" w:hAnsi="Arial" w:cs="Arial"/>
                <w:b/>
                <w:bCs/>
                <w:sz w:val="16"/>
              </w:rPr>
              <w:t>406</w:t>
            </w:r>
          </w:p>
        </w:tc>
        <w:tc>
          <w:tcPr>
            <w:tcW w:w="1843" w:type="dxa"/>
            <w:tcBorders>
              <w:bottom w:val="single" w:sz="4" w:space="0" w:color="auto"/>
            </w:tcBorders>
            <w:vAlign w:val="bottom"/>
          </w:tcPr>
          <w:p w14:paraId="4DF0196F" w14:textId="6506B516" w:rsidR="00832DC9" w:rsidRPr="00832DC9" w:rsidRDefault="00832DC9" w:rsidP="00832DC9">
            <w:pPr>
              <w:pStyle w:val="TableParagraph"/>
              <w:spacing w:line="240" w:lineRule="auto"/>
              <w:ind w:right="312"/>
              <w:rPr>
                <w:rFonts w:ascii="Arial" w:hAnsi="Arial" w:cs="Arial"/>
                <w:bCs/>
                <w:sz w:val="16"/>
              </w:rPr>
            </w:pPr>
            <w:r w:rsidRPr="00832DC9">
              <w:rPr>
                <w:rFonts w:ascii="Arial" w:hAnsi="Arial" w:cs="Arial"/>
                <w:bCs/>
                <w:sz w:val="16"/>
              </w:rPr>
              <w:t>550</w:t>
            </w:r>
          </w:p>
        </w:tc>
      </w:tr>
      <w:tr w:rsidR="00832DC9" w:rsidRPr="00C95165" w14:paraId="7D51695C" w14:textId="77777777" w:rsidTr="00A913A8">
        <w:trPr>
          <w:trHeight w:val="454"/>
        </w:trPr>
        <w:tc>
          <w:tcPr>
            <w:tcW w:w="5557" w:type="dxa"/>
            <w:tcBorders>
              <w:top w:val="single" w:sz="4" w:space="0" w:color="auto"/>
              <w:left w:val="nil"/>
              <w:bottom w:val="single" w:sz="12" w:space="0" w:color="auto"/>
              <w:right w:val="nil"/>
            </w:tcBorders>
            <w:vAlign w:val="center"/>
          </w:tcPr>
          <w:p w14:paraId="564FEDD2" w14:textId="0478FF86" w:rsidR="00832DC9" w:rsidRPr="00F56223" w:rsidRDefault="00832DC9" w:rsidP="00832DC9">
            <w:pPr>
              <w:pStyle w:val="TableParagraph"/>
              <w:spacing w:before="1" w:line="240" w:lineRule="auto"/>
              <w:jc w:val="left"/>
              <w:rPr>
                <w:rFonts w:ascii="Arial" w:hAnsi="Arial" w:cs="Arial"/>
                <w:b/>
                <w:sz w:val="16"/>
              </w:rPr>
            </w:pPr>
            <w:r w:rsidRPr="00F56223">
              <w:rPr>
                <w:rFonts w:ascii="Arial" w:hAnsi="Arial" w:cs="Arial"/>
                <w:b/>
                <w:sz w:val="16"/>
              </w:rPr>
              <w:t>Total assets</w:t>
            </w:r>
          </w:p>
        </w:tc>
        <w:tc>
          <w:tcPr>
            <w:tcW w:w="1985" w:type="dxa"/>
            <w:tcBorders>
              <w:top w:val="single" w:sz="4" w:space="0" w:color="auto"/>
              <w:left w:val="nil"/>
              <w:bottom w:val="single" w:sz="12" w:space="0" w:color="auto"/>
              <w:right w:val="nil"/>
            </w:tcBorders>
            <w:vAlign w:val="center"/>
          </w:tcPr>
          <w:p w14:paraId="28D239FF" w14:textId="0BDEBF0F" w:rsidR="00832DC9" w:rsidRPr="00C52166" w:rsidRDefault="000C7BA1" w:rsidP="00832DC9">
            <w:pPr>
              <w:pStyle w:val="TableParagraph"/>
              <w:spacing w:before="1" w:line="240" w:lineRule="auto"/>
              <w:ind w:right="314"/>
              <w:rPr>
                <w:rFonts w:ascii="Arial" w:hAnsi="Arial" w:cs="Arial"/>
                <w:b/>
                <w:bCs/>
                <w:sz w:val="16"/>
              </w:rPr>
            </w:pPr>
            <w:r w:rsidRPr="00C52166">
              <w:rPr>
                <w:rFonts w:ascii="Arial" w:hAnsi="Arial" w:cs="Arial"/>
                <w:b/>
                <w:bCs/>
                <w:sz w:val="16"/>
              </w:rPr>
              <w:t>1</w:t>
            </w:r>
            <w:r w:rsidR="00832DC9" w:rsidRPr="00C52166">
              <w:rPr>
                <w:rFonts w:ascii="Arial" w:hAnsi="Arial" w:cs="Arial"/>
                <w:b/>
                <w:bCs/>
                <w:sz w:val="16"/>
              </w:rPr>
              <w:t>,</w:t>
            </w:r>
            <w:r w:rsidRPr="00C52166">
              <w:rPr>
                <w:rFonts w:ascii="Arial" w:hAnsi="Arial" w:cs="Arial"/>
                <w:b/>
                <w:bCs/>
                <w:sz w:val="16"/>
              </w:rPr>
              <w:t>201</w:t>
            </w:r>
            <w:r w:rsidR="00832DC9" w:rsidRPr="00C52166">
              <w:rPr>
                <w:rFonts w:ascii="Arial" w:hAnsi="Arial" w:cs="Arial"/>
                <w:b/>
                <w:bCs/>
                <w:sz w:val="16"/>
              </w:rPr>
              <w:t>,</w:t>
            </w:r>
            <w:r w:rsidRPr="00C52166">
              <w:rPr>
                <w:rFonts w:ascii="Arial" w:hAnsi="Arial" w:cs="Arial"/>
                <w:b/>
                <w:bCs/>
                <w:sz w:val="16"/>
              </w:rPr>
              <w:t>04</w:t>
            </w:r>
            <w:r w:rsidR="00A7581D">
              <w:rPr>
                <w:rFonts w:ascii="Arial" w:hAnsi="Arial" w:cs="Arial"/>
                <w:b/>
                <w:bCs/>
                <w:sz w:val="16"/>
              </w:rPr>
              <w:t>8</w:t>
            </w:r>
          </w:p>
        </w:tc>
        <w:tc>
          <w:tcPr>
            <w:tcW w:w="1843" w:type="dxa"/>
            <w:tcBorders>
              <w:top w:val="single" w:sz="4" w:space="0" w:color="auto"/>
              <w:left w:val="nil"/>
              <w:bottom w:val="single" w:sz="12" w:space="0" w:color="auto"/>
              <w:right w:val="nil"/>
            </w:tcBorders>
            <w:vAlign w:val="center"/>
          </w:tcPr>
          <w:p w14:paraId="57FC18D4" w14:textId="27A69CF5" w:rsidR="00832DC9" w:rsidRPr="00832DC9" w:rsidRDefault="00832DC9" w:rsidP="00832DC9">
            <w:pPr>
              <w:pStyle w:val="TableParagraph"/>
              <w:spacing w:before="1" w:line="240" w:lineRule="auto"/>
              <w:ind w:right="312"/>
              <w:rPr>
                <w:rFonts w:ascii="Arial" w:hAnsi="Arial" w:cs="Arial"/>
                <w:bCs/>
                <w:sz w:val="16"/>
              </w:rPr>
            </w:pPr>
            <w:r w:rsidRPr="00832DC9">
              <w:rPr>
                <w:rFonts w:ascii="Arial" w:hAnsi="Arial" w:cs="Arial"/>
                <w:bCs/>
                <w:sz w:val="16"/>
              </w:rPr>
              <w:t>3,663,230</w:t>
            </w:r>
          </w:p>
        </w:tc>
      </w:tr>
      <w:tr w:rsidR="00832DC9" w:rsidRPr="00C95165" w14:paraId="4E048A86" w14:textId="77777777" w:rsidTr="00F54927">
        <w:trPr>
          <w:trHeight w:val="405"/>
        </w:trPr>
        <w:tc>
          <w:tcPr>
            <w:tcW w:w="5557" w:type="dxa"/>
            <w:tcBorders>
              <w:top w:val="single" w:sz="12" w:space="0" w:color="auto"/>
            </w:tcBorders>
            <w:hideMark/>
          </w:tcPr>
          <w:p w14:paraId="3743E14A" w14:textId="77777777" w:rsidR="00832DC9" w:rsidRPr="00F56223" w:rsidRDefault="00832DC9" w:rsidP="00832DC9">
            <w:pPr>
              <w:pStyle w:val="TableParagraph"/>
              <w:spacing w:before="126" w:line="240" w:lineRule="auto"/>
              <w:jc w:val="left"/>
              <w:rPr>
                <w:rFonts w:ascii="Arial" w:hAnsi="Arial" w:cs="Arial"/>
                <w:b/>
                <w:sz w:val="16"/>
              </w:rPr>
            </w:pPr>
            <w:r w:rsidRPr="00F56223">
              <w:rPr>
                <w:rFonts w:ascii="Arial" w:hAnsi="Arial" w:cs="Arial"/>
                <w:b/>
                <w:sz w:val="16"/>
              </w:rPr>
              <w:t>LIABILITIES</w:t>
            </w:r>
          </w:p>
        </w:tc>
        <w:tc>
          <w:tcPr>
            <w:tcW w:w="1985" w:type="dxa"/>
            <w:tcBorders>
              <w:top w:val="single" w:sz="12" w:space="0" w:color="auto"/>
            </w:tcBorders>
          </w:tcPr>
          <w:p w14:paraId="422698E4" w14:textId="77777777" w:rsidR="00832DC9" w:rsidRPr="00C52166" w:rsidRDefault="00832DC9" w:rsidP="00832DC9">
            <w:pPr>
              <w:pStyle w:val="TableParagraph"/>
              <w:spacing w:line="240" w:lineRule="auto"/>
              <w:rPr>
                <w:rFonts w:ascii="Arial" w:hAnsi="Arial" w:cs="Arial"/>
                <w:b/>
                <w:bCs/>
                <w:sz w:val="16"/>
              </w:rPr>
            </w:pPr>
          </w:p>
        </w:tc>
        <w:tc>
          <w:tcPr>
            <w:tcW w:w="1843" w:type="dxa"/>
            <w:tcBorders>
              <w:top w:val="single" w:sz="12" w:space="0" w:color="auto"/>
            </w:tcBorders>
          </w:tcPr>
          <w:p w14:paraId="5DC447D4" w14:textId="77777777" w:rsidR="00832DC9" w:rsidRPr="00832DC9" w:rsidRDefault="00832DC9" w:rsidP="00832DC9">
            <w:pPr>
              <w:pStyle w:val="TableParagraph"/>
              <w:spacing w:line="240" w:lineRule="auto"/>
              <w:ind w:right="312"/>
              <w:rPr>
                <w:rFonts w:ascii="Arial" w:hAnsi="Arial" w:cs="Arial"/>
                <w:bCs/>
                <w:sz w:val="16"/>
              </w:rPr>
            </w:pPr>
          </w:p>
        </w:tc>
      </w:tr>
      <w:tr w:rsidR="00832DC9" w:rsidRPr="00C95165" w14:paraId="518F3402" w14:textId="77777777" w:rsidTr="00D67595">
        <w:trPr>
          <w:trHeight w:val="425"/>
        </w:trPr>
        <w:tc>
          <w:tcPr>
            <w:tcW w:w="5557" w:type="dxa"/>
            <w:vAlign w:val="bottom"/>
          </w:tcPr>
          <w:p w14:paraId="1E0CBD0E" w14:textId="77777777" w:rsidR="00832DC9" w:rsidRPr="00F56223" w:rsidRDefault="00832DC9" w:rsidP="00832DC9">
            <w:pPr>
              <w:pStyle w:val="TableParagraph"/>
              <w:spacing w:before="90" w:line="240" w:lineRule="auto"/>
              <w:jc w:val="left"/>
              <w:rPr>
                <w:rFonts w:ascii="Arial" w:hAnsi="Arial" w:cs="Arial"/>
                <w:b/>
                <w:sz w:val="16"/>
              </w:rPr>
            </w:pPr>
            <w:r w:rsidRPr="00F56223">
              <w:rPr>
                <w:rFonts w:ascii="Arial" w:hAnsi="Arial" w:cs="Arial"/>
                <w:b/>
                <w:sz w:val="16"/>
              </w:rPr>
              <w:t>Current liabilities</w:t>
            </w:r>
          </w:p>
          <w:p w14:paraId="69BD769C" w14:textId="77777777" w:rsidR="00832DC9" w:rsidRPr="00F56223" w:rsidRDefault="00832DC9" w:rsidP="00832DC9">
            <w:pPr>
              <w:pStyle w:val="TableParagraph"/>
              <w:spacing w:before="1" w:line="167" w:lineRule="exact"/>
              <w:jc w:val="left"/>
              <w:rPr>
                <w:rFonts w:ascii="Arial" w:hAnsi="Arial" w:cs="Arial"/>
                <w:sz w:val="16"/>
              </w:rPr>
            </w:pPr>
            <w:r w:rsidRPr="00F56223">
              <w:rPr>
                <w:rFonts w:ascii="Arial" w:hAnsi="Arial" w:cs="Arial"/>
                <w:sz w:val="16"/>
              </w:rPr>
              <w:t>Accounts payable and accrued liabilities</w:t>
            </w:r>
          </w:p>
        </w:tc>
        <w:tc>
          <w:tcPr>
            <w:tcW w:w="1985" w:type="dxa"/>
            <w:vAlign w:val="bottom"/>
          </w:tcPr>
          <w:p w14:paraId="49AAF568" w14:textId="2E34432F" w:rsidR="00832DC9" w:rsidRPr="00C52166" w:rsidRDefault="00035E48" w:rsidP="00832DC9">
            <w:pPr>
              <w:pStyle w:val="TableParagraph"/>
              <w:spacing w:line="240" w:lineRule="auto"/>
              <w:ind w:right="312"/>
              <w:rPr>
                <w:rFonts w:ascii="Arial" w:hAnsi="Arial" w:cs="Arial"/>
                <w:b/>
                <w:bCs/>
                <w:sz w:val="16"/>
              </w:rPr>
            </w:pPr>
            <w:r>
              <w:rPr>
                <w:rFonts w:ascii="Arial" w:hAnsi="Arial" w:cs="Arial"/>
                <w:b/>
                <w:bCs/>
                <w:sz w:val="16"/>
              </w:rPr>
              <w:t>4</w:t>
            </w:r>
            <w:r w:rsidR="002A5CF3">
              <w:rPr>
                <w:rFonts w:ascii="Arial" w:hAnsi="Arial" w:cs="Arial"/>
                <w:b/>
                <w:bCs/>
                <w:sz w:val="16"/>
              </w:rPr>
              <w:t>9</w:t>
            </w:r>
            <w:r w:rsidR="000C263D">
              <w:rPr>
                <w:rFonts w:ascii="Arial" w:hAnsi="Arial" w:cs="Arial"/>
                <w:b/>
                <w:bCs/>
                <w:sz w:val="16"/>
              </w:rPr>
              <w:t>9,869</w:t>
            </w:r>
          </w:p>
        </w:tc>
        <w:tc>
          <w:tcPr>
            <w:tcW w:w="1843" w:type="dxa"/>
            <w:vAlign w:val="bottom"/>
          </w:tcPr>
          <w:p w14:paraId="051A006E" w14:textId="54449421" w:rsidR="00832DC9" w:rsidRPr="00832DC9" w:rsidRDefault="00832DC9" w:rsidP="00832DC9">
            <w:pPr>
              <w:pStyle w:val="TableParagraph"/>
              <w:spacing w:line="240" w:lineRule="auto"/>
              <w:ind w:right="312"/>
              <w:rPr>
                <w:rFonts w:ascii="Arial" w:hAnsi="Arial" w:cs="Arial"/>
                <w:bCs/>
                <w:sz w:val="16"/>
              </w:rPr>
            </w:pPr>
            <w:r w:rsidRPr="00832DC9">
              <w:rPr>
                <w:rFonts w:ascii="Arial" w:hAnsi="Arial" w:cs="Arial"/>
                <w:bCs/>
                <w:sz w:val="16"/>
              </w:rPr>
              <w:t>5</w:t>
            </w:r>
            <w:r w:rsidR="00CD783C">
              <w:rPr>
                <w:rFonts w:ascii="Arial" w:hAnsi="Arial" w:cs="Arial"/>
                <w:bCs/>
                <w:sz w:val="16"/>
              </w:rPr>
              <w:t>6</w:t>
            </w:r>
            <w:r w:rsidRPr="00832DC9">
              <w:rPr>
                <w:rFonts w:ascii="Arial" w:hAnsi="Arial" w:cs="Arial"/>
                <w:bCs/>
                <w:sz w:val="16"/>
              </w:rPr>
              <w:t>8,795</w:t>
            </w:r>
          </w:p>
        </w:tc>
      </w:tr>
      <w:tr w:rsidR="00832DC9" w:rsidRPr="00C95165" w14:paraId="7FEA88E9" w14:textId="77777777" w:rsidTr="00D67595">
        <w:trPr>
          <w:trHeight w:val="218"/>
        </w:trPr>
        <w:tc>
          <w:tcPr>
            <w:tcW w:w="5557" w:type="dxa"/>
            <w:tcBorders>
              <w:top w:val="single" w:sz="4" w:space="0" w:color="000000"/>
              <w:bottom w:val="single" w:sz="4" w:space="0" w:color="auto"/>
            </w:tcBorders>
            <w:vAlign w:val="bottom"/>
          </w:tcPr>
          <w:p w14:paraId="50CEC4B6" w14:textId="7AFF4C47" w:rsidR="00832DC9" w:rsidRPr="00F56223" w:rsidRDefault="00832DC9" w:rsidP="00832DC9">
            <w:pPr>
              <w:pStyle w:val="TableParagraph"/>
              <w:spacing w:before="2" w:line="240" w:lineRule="auto"/>
              <w:jc w:val="left"/>
              <w:rPr>
                <w:rFonts w:ascii="Arial" w:hAnsi="Arial" w:cs="Arial"/>
                <w:b/>
                <w:sz w:val="16"/>
              </w:rPr>
            </w:pPr>
            <w:r w:rsidRPr="00F56223">
              <w:rPr>
                <w:rFonts w:ascii="Arial" w:hAnsi="Arial" w:cs="Arial"/>
                <w:b/>
                <w:sz w:val="16"/>
              </w:rPr>
              <w:t>Total current liabilities</w:t>
            </w:r>
          </w:p>
        </w:tc>
        <w:tc>
          <w:tcPr>
            <w:tcW w:w="1985" w:type="dxa"/>
            <w:tcBorders>
              <w:top w:val="single" w:sz="4" w:space="0" w:color="000000"/>
              <w:bottom w:val="single" w:sz="4" w:space="0" w:color="000000"/>
            </w:tcBorders>
            <w:vAlign w:val="bottom"/>
          </w:tcPr>
          <w:p w14:paraId="275D5DC6" w14:textId="77725325" w:rsidR="00832DC9" w:rsidRPr="00C52166" w:rsidRDefault="00035E48" w:rsidP="00832DC9">
            <w:pPr>
              <w:pStyle w:val="TableParagraph"/>
              <w:spacing w:before="2" w:line="240" w:lineRule="auto"/>
              <w:ind w:right="312"/>
              <w:rPr>
                <w:rFonts w:ascii="Arial" w:hAnsi="Arial" w:cs="Arial"/>
                <w:b/>
                <w:bCs/>
                <w:sz w:val="16"/>
              </w:rPr>
            </w:pPr>
            <w:r>
              <w:rPr>
                <w:rFonts w:ascii="Arial" w:hAnsi="Arial" w:cs="Arial"/>
                <w:b/>
                <w:bCs/>
                <w:sz w:val="16"/>
              </w:rPr>
              <w:t>4</w:t>
            </w:r>
            <w:r w:rsidR="002A5CF3">
              <w:rPr>
                <w:rFonts w:ascii="Arial" w:hAnsi="Arial" w:cs="Arial"/>
                <w:b/>
                <w:bCs/>
                <w:sz w:val="16"/>
              </w:rPr>
              <w:t>9</w:t>
            </w:r>
            <w:r w:rsidR="000C263D">
              <w:rPr>
                <w:rFonts w:ascii="Arial" w:hAnsi="Arial" w:cs="Arial"/>
                <w:b/>
                <w:bCs/>
                <w:sz w:val="16"/>
              </w:rPr>
              <w:t>9,869</w:t>
            </w:r>
          </w:p>
        </w:tc>
        <w:tc>
          <w:tcPr>
            <w:tcW w:w="1843" w:type="dxa"/>
            <w:tcBorders>
              <w:top w:val="single" w:sz="4" w:space="0" w:color="000000"/>
              <w:bottom w:val="single" w:sz="4" w:space="0" w:color="000000"/>
            </w:tcBorders>
            <w:vAlign w:val="bottom"/>
          </w:tcPr>
          <w:p w14:paraId="43E33EBC" w14:textId="65F3864F" w:rsidR="00832DC9" w:rsidRPr="00832DC9" w:rsidRDefault="00832DC9" w:rsidP="00832DC9">
            <w:pPr>
              <w:pStyle w:val="TableParagraph"/>
              <w:spacing w:before="2" w:line="240" w:lineRule="auto"/>
              <w:ind w:right="312"/>
              <w:rPr>
                <w:rFonts w:ascii="Arial" w:hAnsi="Arial" w:cs="Arial"/>
                <w:bCs/>
                <w:sz w:val="16"/>
              </w:rPr>
            </w:pPr>
            <w:r w:rsidRPr="00832DC9">
              <w:rPr>
                <w:rFonts w:ascii="Arial" w:hAnsi="Arial" w:cs="Arial"/>
                <w:bCs/>
                <w:sz w:val="16"/>
              </w:rPr>
              <w:t>5</w:t>
            </w:r>
            <w:r w:rsidR="00CD783C">
              <w:rPr>
                <w:rFonts w:ascii="Arial" w:hAnsi="Arial" w:cs="Arial"/>
                <w:bCs/>
                <w:sz w:val="16"/>
              </w:rPr>
              <w:t>6</w:t>
            </w:r>
            <w:r w:rsidRPr="00832DC9">
              <w:rPr>
                <w:rFonts w:ascii="Arial" w:hAnsi="Arial" w:cs="Arial"/>
                <w:bCs/>
                <w:sz w:val="16"/>
              </w:rPr>
              <w:t>8,795</w:t>
            </w:r>
          </w:p>
        </w:tc>
      </w:tr>
      <w:tr w:rsidR="00832DC9" w:rsidRPr="00C95165" w14:paraId="01FA05FC" w14:textId="77777777" w:rsidTr="00D67595">
        <w:trPr>
          <w:trHeight w:val="403"/>
        </w:trPr>
        <w:tc>
          <w:tcPr>
            <w:tcW w:w="5557" w:type="dxa"/>
            <w:tcBorders>
              <w:top w:val="single" w:sz="4" w:space="0" w:color="auto"/>
              <w:left w:val="nil"/>
              <w:right w:val="nil"/>
            </w:tcBorders>
            <w:vAlign w:val="center"/>
          </w:tcPr>
          <w:p w14:paraId="040EE776" w14:textId="77777777" w:rsidR="00832DC9" w:rsidRPr="00F56223" w:rsidRDefault="00832DC9" w:rsidP="00832DC9">
            <w:pPr>
              <w:pStyle w:val="TableParagraph"/>
              <w:spacing w:before="1" w:line="240" w:lineRule="auto"/>
              <w:jc w:val="left"/>
              <w:rPr>
                <w:rFonts w:ascii="Arial" w:hAnsi="Arial" w:cs="Arial"/>
                <w:b/>
                <w:sz w:val="16"/>
              </w:rPr>
            </w:pPr>
            <w:r w:rsidRPr="00F56223">
              <w:rPr>
                <w:rFonts w:ascii="Arial" w:hAnsi="Arial" w:cs="Arial"/>
                <w:b/>
                <w:sz w:val="16"/>
              </w:rPr>
              <w:t>EQUITY</w:t>
            </w:r>
          </w:p>
        </w:tc>
        <w:tc>
          <w:tcPr>
            <w:tcW w:w="1985" w:type="dxa"/>
            <w:tcBorders>
              <w:top w:val="single" w:sz="4" w:space="0" w:color="000000"/>
              <w:left w:val="nil"/>
              <w:bottom w:val="nil"/>
              <w:right w:val="nil"/>
            </w:tcBorders>
          </w:tcPr>
          <w:p w14:paraId="4AD2446D" w14:textId="77777777" w:rsidR="00832DC9" w:rsidRPr="00C52166" w:rsidRDefault="00832DC9" w:rsidP="00832DC9">
            <w:pPr>
              <w:pStyle w:val="TableParagraph"/>
              <w:spacing w:line="240" w:lineRule="auto"/>
              <w:rPr>
                <w:rFonts w:ascii="Arial" w:hAnsi="Arial" w:cs="Arial"/>
                <w:b/>
                <w:bCs/>
                <w:sz w:val="16"/>
              </w:rPr>
            </w:pPr>
          </w:p>
        </w:tc>
        <w:tc>
          <w:tcPr>
            <w:tcW w:w="1843" w:type="dxa"/>
            <w:tcBorders>
              <w:top w:val="single" w:sz="4" w:space="0" w:color="000000"/>
              <w:left w:val="nil"/>
              <w:bottom w:val="nil"/>
              <w:right w:val="nil"/>
            </w:tcBorders>
          </w:tcPr>
          <w:p w14:paraId="7F97EA07" w14:textId="77777777" w:rsidR="00832DC9" w:rsidRPr="00832DC9" w:rsidRDefault="00832DC9" w:rsidP="00832DC9">
            <w:pPr>
              <w:pStyle w:val="TableParagraph"/>
              <w:spacing w:line="240" w:lineRule="auto"/>
              <w:ind w:right="312"/>
              <w:rPr>
                <w:rFonts w:ascii="Arial" w:hAnsi="Arial" w:cs="Arial"/>
                <w:bCs/>
                <w:sz w:val="16"/>
              </w:rPr>
            </w:pPr>
          </w:p>
        </w:tc>
      </w:tr>
      <w:tr w:rsidR="00832DC9" w:rsidRPr="00C95165" w14:paraId="7B54BC07" w14:textId="77777777" w:rsidTr="0033725E">
        <w:trPr>
          <w:trHeight w:val="277"/>
        </w:trPr>
        <w:tc>
          <w:tcPr>
            <w:tcW w:w="5557" w:type="dxa"/>
            <w:vAlign w:val="bottom"/>
            <w:hideMark/>
          </w:tcPr>
          <w:p w14:paraId="6FC43656" w14:textId="5B3DE3EE" w:rsidR="00832DC9" w:rsidRPr="00F56223" w:rsidRDefault="00832DC9" w:rsidP="00832DC9">
            <w:pPr>
              <w:pStyle w:val="TableParagraph"/>
              <w:spacing w:before="90" w:line="167" w:lineRule="exact"/>
              <w:jc w:val="left"/>
              <w:rPr>
                <w:rFonts w:ascii="Arial" w:hAnsi="Arial" w:cs="Arial"/>
                <w:i/>
                <w:sz w:val="16"/>
              </w:rPr>
            </w:pPr>
            <w:r w:rsidRPr="00F56223">
              <w:rPr>
                <w:rFonts w:ascii="Arial" w:hAnsi="Arial" w:cs="Arial"/>
                <w:sz w:val="16"/>
              </w:rPr>
              <w:t xml:space="preserve">Share capital </w:t>
            </w:r>
            <w:r w:rsidRPr="00795F41">
              <w:rPr>
                <w:rFonts w:ascii="Arial" w:hAnsi="Arial" w:cs="Arial"/>
                <w:i/>
                <w:sz w:val="16"/>
              </w:rPr>
              <w:t xml:space="preserve">[note </w:t>
            </w:r>
            <w:r>
              <w:rPr>
                <w:rFonts w:ascii="Arial" w:hAnsi="Arial" w:cs="Arial"/>
                <w:i/>
                <w:sz w:val="16"/>
              </w:rPr>
              <w:t>8</w:t>
            </w:r>
            <w:r w:rsidRPr="00795F41">
              <w:rPr>
                <w:rFonts w:ascii="Arial" w:hAnsi="Arial" w:cs="Arial"/>
                <w:i/>
                <w:sz w:val="16"/>
              </w:rPr>
              <w:t>]</w:t>
            </w:r>
          </w:p>
        </w:tc>
        <w:tc>
          <w:tcPr>
            <w:tcW w:w="1985" w:type="dxa"/>
          </w:tcPr>
          <w:p w14:paraId="55657E60" w14:textId="41FEB35C" w:rsidR="00832DC9" w:rsidRPr="00C52166" w:rsidRDefault="00832DC9" w:rsidP="00832DC9">
            <w:pPr>
              <w:pStyle w:val="TableParagraph"/>
              <w:spacing w:before="90" w:line="240" w:lineRule="auto"/>
              <w:ind w:right="312"/>
              <w:rPr>
                <w:rFonts w:ascii="Arial" w:hAnsi="Arial" w:cs="Arial"/>
                <w:b/>
                <w:bCs/>
                <w:sz w:val="16"/>
                <w:szCs w:val="16"/>
              </w:rPr>
            </w:pPr>
            <w:r w:rsidRPr="00C52166">
              <w:rPr>
                <w:rFonts w:ascii="Arial" w:hAnsi="Arial" w:cs="Arial"/>
                <w:b/>
                <w:bCs/>
                <w:sz w:val="16"/>
                <w:szCs w:val="16"/>
              </w:rPr>
              <w:t>41,865,575</w:t>
            </w:r>
          </w:p>
        </w:tc>
        <w:tc>
          <w:tcPr>
            <w:tcW w:w="1843" w:type="dxa"/>
            <w:hideMark/>
          </w:tcPr>
          <w:p w14:paraId="31AE0078" w14:textId="2A0C7880" w:rsidR="00832DC9" w:rsidRPr="00832DC9" w:rsidRDefault="00832DC9" w:rsidP="00832DC9">
            <w:pPr>
              <w:pStyle w:val="TableParagraph"/>
              <w:spacing w:before="90" w:line="240" w:lineRule="auto"/>
              <w:ind w:right="312"/>
              <w:rPr>
                <w:rFonts w:ascii="Arial" w:hAnsi="Arial" w:cs="Arial"/>
                <w:bCs/>
                <w:sz w:val="16"/>
              </w:rPr>
            </w:pPr>
            <w:r w:rsidRPr="00832DC9">
              <w:rPr>
                <w:rFonts w:ascii="Arial" w:hAnsi="Arial" w:cs="Arial"/>
                <w:bCs/>
                <w:sz w:val="16"/>
                <w:szCs w:val="16"/>
              </w:rPr>
              <w:t>41,865,575</w:t>
            </w:r>
          </w:p>
        </w:tc>
      </w:tr>
      <w:tr w:rsidR="00832DC9" w:rsidRPr="00C95165" w14:paraId="67224EFD" w14:textId="77777777" w:rsidTr="0033725E">
        <w:trPr>
          <w:trHeight w:val="184"/>
        </w:trPr>
        <w:tc>
          <w:tcPr>
            <w:tcW w:w="5557" w:type="dxa"/>
            <w:vAlign w:val="bottom"/>
            <w:hideMark/>
          </w:tcPr>
          <w:p w14:paraId="7CBE60D6" w14:textId="64C2D980" w:rsidR="00832DC9" w:rsidRPr="00F56223" w:rsidRDefault="00832DC9" w:rsidP="00832DC9">
            <w:pPr>
              <w:pStyle w:val="TableParagraph"/>
              <w:jc w:val="left"/>
              <w:rPr>
                <w:rFonts w:ascii="Arial" w:hAnsi="Arial" w:cs="Arial"/>
                <w:sz w:val="16"/>
              </w:rPr>
            </w:pPr>
            <w:r w:rsidRPr="00F56223">
              <w:rPr>
                <w:rFonts w:ascii="Arial" w:hAnsi="Arial" w:cs="Arial"/>
                <w:sz w:val="16"/>
              </w:rPr>
              <w:t xml:space="preserve">Equity settled employee benefits </w:t>
            </w:r>
            <w:r w:rsidRPr="00795F41">
              <w:rPr>
                <w:rFonts w:ascii="Arial" w:hAnsi="Arial" w:cs="Arial"/>
                <w:i/>
                <w:iCs/>
                <w:sz w:val="16"/>
              </w:rPr>
              <w:t xml:space="preserve">[note </w:t>
            </w:r>
            <w:r>
              <w:rPr>
                <w:rFonts w:ascii="Arial" w:hAnsi="Arial" w:cs="Arial"/>
                <w:i/>
                <w:iCs/>
                <w:sz w:val="16"/>
              </w:rPr>
              <w:t>8</w:t>
            </w:r>
            <w:r w:rsidRPr="00795F41">
              <w:rPr>
                <w:rFonts w:ascii="Arial" w:hAnsi="Arial" w:cs="Arial"/>
                <w:i/>
                <w:iCs/>
                <w:sz w:val="16"/>
              </w:rPr>
              <w:t>]</w:t>
            </w:r>
          </w:p>
        </w:tc>
        <w:tc>
          <w:tcPr>
            <w:tcW w:w="1985" w:type="dxa"/>
          </w:tcPr>
          <w:p w14:paraId="2E95DB2B" w14:textId="206C6FEE" w:rsidR="00832DC9" w:rsidRPr="00C52166" w:rsidRDefault="00832DC9" w:rsidP="00832DC9">
            <w:pPr>
              <w:pStyle w:val="TableParagraph"/>
              <w:spacing w:line="240" w:lineRule="auto"/>
              <w:ind w:right="312"/>
              <w:rPr>
                <w:rFonts w:ascii="Arial" w:hAnsi="Arial" w:cs="Arial"/>
                <w:b/>
                <w:bCs/>
                <w:sz w:val="16"/>
                <w:szCs w:val="16"/>
              </w:rPr>
            </w:pPr>
            <w:r w:rsidRPr="00C52166">
              <w:rPr>
                <w:rFonts w:ascii="Arial" w:hAnsi="Arial" w:cs="Arial"/>
                <w:b/>
                <w:bCs/>
                <w:sz w:val="16"/>
                <w:szCs w:val="16"/>
              </w:rPr>
              <w:t xml:space="preserve">  2,</w:t>
            </w:r>
            <w:r w:rsidR="000C7BA1" w:rsidRPr="00C52166">
              <w:rPr>
                <w:rFonts w:ascii="Arial" w:hAnsi="Arial" w:cs="Arial"/>
                <w:b/>
                <w:bCs/>
                <w:sz w:val="16"/>
                <w:szCs w:val="16"/>
              </w:rPr>
              <w:t>689</w:t>
            </w:r>
            <w:r w:rsidRPr="00C52166">
              <w:rPr>
                <w:rFonts w:ascii="Arial" w:hAnsi="Arial" w:cs="Arial"/>
                <w:b/>
                <w:bCs/>
                <w:sz w:val="16"/>
                <w:szCs w:val="16"/>
              </w:rPr>
              <w:t>,</w:t>
            </w:r>
            <w:r w:rsidR="000C7BA1" w:rsidRPr="00C52166">
              <w:rPr>
                <w:rFonts w:ascii="Arial" w:hAnsi="Arial" w:cs="Arial"/>
                <w:b/>
                <w:bCs/>
                <w:sz w:val="16"/>
                <w:szCs w:val="16"/>
              </w:rPr>
              <w:t>021</w:t>
            </w:r>
          </w:p>
        </w:tc>
        <w:tc>
          <w:tcPr>
            <w:tcW w:w="1843" w:type="dxa"/>
            <w:hideMark/>
          </w:tcPr>
          <w:p w14:paraId="4605C9FA" w14:textId="7283927F" w:rsidR="00832DC9" w:rsidRPr="00832DC9" w:rsidRDefault="00832DC9" w:rsidP="00832DC9">
            <w:pPr>
              <w:pStyle w:val="TableParagraph"/>
              <w:spacing w:line="240" w:lineRule="auto"/>
              <w:ind w:right="312"/>
              <w:rPr>
                <w:rFonts w:ascii="Arial" w:hAnsi="Arial" w:cs="Arial"/>
                <w:bCs/>
                <w:sz w:val="16"/>
              </w:rPr>
            </w:pPr>
            <w:r w:rsidRPr="00832DC9">
              <w:rPr>
                <w:rFonts w:ascii="Arial" w:hAnsi="Arial" w:cs="Arial"/>
                <w:bCs/>
                <w:sz w:val="16"/>
                <w:szCs w:val="16"/>
              </w:rPr>
              <w:t xml:space="preserve">  2,350,593</w:t>
            </w:r>
          </w:p>
        </w:tc>
      </w:tr>
      <w:tr w:rsidR="00832DC9" w:rsidRPr="00C95165" w14:paraId="37885CD5" w14:textId="77777777" w:rsidTr="0033725E">
        <w:trPr>
          <w:trHeight w:val="184"/>
        </w:trPr>
        <w:tc>
          <w:tcPr>
            <w:tcW w:w="5557" w:type="dxa"/>
            <w:vAlign w:val="bottom"/>
            <w:hideMark/>
          </w:tcPr>
          <w:p w14:paraId="2A3D3194" w14:textId="12241D5A" w:rsidR="00832DC9" w:rsidRPr="00F56223" w:rsidRDefault="00832DC9" w:rsidP="00832DC9">
            <w:pPr>
              <w:pStyle w:val="TableParagraph"/>
              <w:jc w:val="left"/>
              <w:rPr>
                <w:rFonts w:ascii="Arial" w:hAnsi="Arial" w:cs="Arial"/>
                <w:sz w:val="16"/>
              </w:rPr>
            </w:pPr>
            <w:r w:rsidRPr="00F56223">
              <w:rPr>
                <w:rFonts w:ascii="Arial" w:hAnsi="Arial" w:cs="Arial"/>
                <w:sz w:val="16"/>
              </w:rPr>
              <w:t xml:space="preserve">Other comprehensive </w:t>
            </w:r>
            <w:r>
              <w:rPr>
                <w:rFonts w:ascii="Arial" w:hAnsi="Arial" w:cs="Arial"/>
                <w:sz w:val="16"/>
              </w:rPr>
              <w:t>loss</w:t>
            </w:r>
          </w:p>
        </w:tc>
        <w:tc>
          <w:tcPr>
            <w:tcW w:w="1985" w:type="dxa"/>
          </w:tcPr>
          <w:p w14:paraId="08A3C34D" w14:textId="4065C26B" w:rsidR="00832DC9" w:rsidRPr="00C52166" w:rsidRDefault="00832DC9" w:rsidP="00832DC9">
            <w:pPr>
              <w:pStyle w:val="TableParagraph"/>
              <w:spacing w:line="240" w:lineRule="auto"/>
              <w:ind w:right="312"/>
              <w:rPr>
                <w:rFonts w:ascii="Arial" w:hAnsi="Arial" w:cs="Arial"/>
                <w:b/>
                <w:bCs/>
                <w:sz w:val="16"/>
                <w:szCs w:val="16"/>
              </w:rPr>
            </w:pPr>
            <w:r w:rsidRPr="00C52166">
              <w:rPr>
                <w:rFonts w:ascii="Arial" w:hAnsi="Arial" w:cs="Arial"/>
                <w:b/>
                <w:bCs/>
                <w:sz w:val="16"/>
                <w:szCs w:val="16"/>
              </w:rPr>
              <w:t>(2</w:t>
            </w:r>
            <w:r w:rsidR="000C7BA1" w:rsidRPr="00C52166">
              <w:rPr>
                <w:rFonts w:ascii="Arial" w:hAnsi="Arial" w:cs="Arial"/>
                <w:b/>
                <w:bCs/>
                <w:sz w:val="16"/>
                <w:szCs w:val="16"/>
              </w:rPr>
              <w:t>1</w:t>
            </w:r>
            <w:r w:rsidR="000C263D">
              <w:rPr>
                <w:rFonts w:ascii="Arial" w:hAnsi="Arial" w:cs="Arial"/>
                <w:b/>
                <w:bCs/>
                <w:sz w:val="16"/>
                <w:szCs w:val="16"/>
              </w:rPr>
              <w:t>2,695</w:t>
            </w:r>
            <w:r w:rsidRPr="00C52166">
              <w:rPr>
                <w:rFonts w:ascii="Arial" w:hAnsi="Arial" w:cs="Arial"/>
                <w:b/>
                <w:bCs/>
                <w:sz w:val="16"/>
                <w:szCs w:val="16"/>
              </w:rPr>
              <w:t xml:space="preserve">) </w:t>
            </w:r>
          </w:p>
        </w:tc>
        <w:tc>
          <w:tcPr>
            <w:tcW w:w="1843" w:type="dxa"/>
            <w:shd w:val="clear" w:color="auto" w:fill="auto"/>
            <w:hideMark/>
          </w:tcPr>
          <w:p w14:paraId="0D880DDC" w14:textId="30328EDF" w:rsidR="00832DC9" w:rsidRPr="00832DC9" w:rsidRDefault="00832DC9" w:rsidP="00832DC9">
            <w:pPr>
              <w:pStyle w:val="TableParagraph"/>
              <w:spacing w:line="240" w:lineRule="auto"/>
              <w:ind w:right="312"/>
              <w:rPr>
                <w:rFonts w:ascii="Arial" w:hAnsi="Arial" w:cs="Arial"/>
                <w:bCs/>
                <w:sz w:val="16"/>
              </w:rPr>
            </w:pPr>
            <w:r w:rsidRPr="00832DC9">
              <w:rPr>
                <w:rFonts w:ascii="Arial" w:hAnsi="Arial" w:cs="Arial"/>
                <w:bCs/>
                <w:sz w:val="16"/>
                <w:szCs w:val="16"/>
              </w:rPr>
              <w:t xml:space="preserve">(287,216) </w:t>
            </w:r>
          </w:p>
        </w:tc>
      </w:tr>
      <w:tr w:rsidR="00832DC9" w:rsidRPr="00C95165" w14:paraId="095E57B5" w14:textId="77777777" w:rsidTr="0033725E">
        <w:trPr>
          <w:trHeight w:val="213"/>
        </w:trPr>
        <w:tc>
          <w:tcPr>
            <w:tcW w:w="5557" w:type="dxa"/>
            <w:tcBorders>
              <w:top w:val="nil"/>
              <w:left w:val="nil"/>
              <w:bottom w:val="single" w:sz="4" w:space="0" w:color="000000"/>
              <w:right w:val="nil"/>
            </w:tcBorders>
            <w:vAlign w:val="bottom"/>
            <w:hideMark/>
          </w:tcPr>
          <w:p w14:paraId="055E1BCB" w14:textId="77777777" w:rsidR="00832DC9" w:rsidRPr="00F56223" w:rsidRDefault="00832DC9" w:rsidP="00832DC9">
            <w:pPr>
              <w:pStyle w:val="TableParagraph"/>
              <w:spacing w:line="182" w:lineRule="exact"/>
              <w:jc w:val="left"/>
              <w:rPr>
                <w:rFonts w:ascii="Arial" w:hAnsi="Arial" w:cs="Arial"/>
                <w:sz w:val="16"/>
              </w:rPr>
            </w:pPr>
            <w:r w:rsidRPr="00F56223">
              <w:rPr>
                <w:rFonts w:ascii="Arial" w:hAnsi="Arial" w:cs="Arial"/>
                <w:sz w:val="16"/>
              </w:rPr>
              <w:t>Deficit</w:t>
            </w:r>
          </w:p>
        </w:tc>
        <w:tc>
          <w:tcPr>
            <w:tcW w:w="1985" w:type="dxa"/>
            <w:tcBorders>
              <w:top w:val="nil"/>
              <w:left w:val="nil"/>
              <w:bottom w:val="single" w:sz="4" w:space="0" w:color="000000"/>
              <w:right w:val="nil"/>
            </w:tcBorders>
          </w:tcPr>
          <w:p w14:paraId="065CE802" w14:textId="778355D7" w:rsidR="00832DC9" w:rsidRPr="00C52166" w:rsidRDefault="00832DC9" w:rsidP="00832DC9">
            <w:pPr>
              <w:pStyle w:val="TableParagraph"/>
              <w:tabs>
                <w:tab w:val="right" w:pos="1374"/>
              </w:tabs>
              <w:spacing w:line="240" w:lineRule="auto"/>
              <w:ind w:left="471" w:right="312" w:hanging="142"/>
              <w:rPr>
                <w:rFonts w:ascii="Arial" w:hAnsi="Arial" w:cs="Arial"/>
                <w:b/>
                <w:bCs/>
                <w:sz w:val="16"/>
                <w:szCs w:val="16"/>
              </w:rPr>
            </w:pPr>
            <w:r w:rsidRPr="00C52166">
              <w:rPr>
                <w:rFonts w:ascii="Arial" w:hAnsi="Arial" w:cs="Arial"/>
                <w:b/>
                <w:bCs/>
                <w:sz w:val="16"/>
                <w:szCs w:val="16"/>
              </w:rPr>
              <w:t>(4</w:t>
            </w:r>
            <w:r w:rsidR="000C7BA1" w:rsidRPr="00C52166">
              <w:rPr>
                <w:rFonts w:ascii="Arial" w:hAnsi="Arial" w:cs="Arial"/>
                <w:b/>
                <w:bCs/>
                <w:sz w:val="16"/>
                <w:szCs w:val="16"/>
              </w:rPr>
              <w:t>3</w:t>
            </w:r>
            <w:r w:rsidRPr="00C52166">
              <w:rPr>
                <w:rFonts w:ascii="Arial" w:hAnsi="Arial" w:cs="Arial"/>
                <w:b/>
                <w:bCs/>
                <w:sz w:val="16"/>
                <w:szCs w:val="16"/>
              </w:rPr>
              <w:t>,</w:t>
            </w:r>
            <w:r w:rsidR="002A5CF3">
              <w:rPr>
                <w:rFonts w:ascii="Arial" w:hAnsi="Arial" w:cs="Arial"/>
                <w:b/>
                <w:bCs/>
                <w:sz w:val="16"/>
                <w:szCs w:val="16"/>
              </w:rPr>
              <w:t>64</w:t>
            </w:r>
            <w:r w:rsidR="000C263D">
              <w:rPr>
                <w:rFonts w:ascii="Arial" w:hAnsi="Arial" w:cs="Arial"/>
                <w:b/>
                <w:bCs/>
                <w:sz w:val="16"/>
                <w:szCs w:val="16"/>
              </w:rPr>
              <w:t>0,72</w:t>
            </w:r>
            <w:r w:rsidR="00A7581D">
              <w:rPr>
                <w:rFonts w:ascii="Arial" w:hAnsi="Arial" w:cs="Arial"/>
                <w:b/>
                <w:bCs/>
                <w:sz w:val="16"/>
                <w:szCs w:val="16"/>
              </w:rPr>
              <w:t>2</w:t>
            </w:r>
            <w:r w:rsidRPr="00C52166">
              <w:rPr>
                <w:rFonts w:ascii="Arial" w:hAnsi="Arial" w:cs="Arial"/>
                <w:b/>
                <w:bCs/>
                <w:sz w:val="16"/>
                <w:szCs w:val="16"/>
              </w:rPr>
              <w:t>)</w:t>
            </w:r>
          </w:p>
        </w:tc>
        <w:tc>
          <w:tcPr>
            <w:tcW w:w="1843" w:type="dxa"/>
            <w:tcBorders>
              <w:top w:val="nil"/>
              <w:left w:val="nil"/>
              <w:bottom w:val="single" w:sz="4" w:space="0" w:color="000000"/>
              <w:right w:val="nil"/>
            </w:tcBorders>
            <w:shd w:val="clear" w:color="auto" w:fill="auto"/>
            <w:hideMark/>
          </w:tcPr>
          <w:p w14:paraId="353D3D1D" w14:textId="717D7636" w:rsidR="00832DC9" w:rsidRPr="00832DC9" w:rsidRDefault="00832DC9" w:rsidP="00832DC9">
            <w:pPr>
              <w:pStyle w:val="TableParagraph"/>
              <w:spacing w:line="240" w:lineRule="auto"/>
              <w:ind w:right="312"/>
              <w:rPr>
                <w:rFonts w:ascii="Arial" w:hAnsi="Arial" w:cs="Arial"/>
                <w:bCs/>
                <w:sz w:val="16"/>
              </w:rPr>
            </w:pPr>
            <w:r w:rsidRPr="00832DC9">
              <w:rPr>
                <w:rFonts w:ascii="Arial" w:hAnsi="Arial" w:cs="Arial"/>
                <w:bCs/>
                <w:sz w:val="16"/>
                <w:szCs w:val="16"/>
              </w:rPr>
              <w:t>(40,</w:t>
            </w:r>
            <w:r w:rsidR="00CD783C">
              <w:rPr>
                <w:rFonts w:ascii="Arial" w:hAnsi="Arial" w:cs="Arial"/>
                <w:bCs/>
                <w:sz w:val="16"/>
                <w:szCs w:val="16"/>
              </w:rPr>
              <w:t>83</w:t>
            </w:r>
            <w:r w:rsidRPr="00832DC9">
              <w:rPr>
                <w:rFonts w:ascii="Arial" w:hAnsi="Arial" w:cs="Arial"/>
                <w:bCs/>
                <w:sz w:val="16"/>
                <w:szCs w:val="16"/>
              </w:rPr>
              <w:t>4,518)</w:t>
            </w:r>
          </w:p>
        </w:tc>
      </w:tr>
      <w:tr w:rsidR="00832DC9" w:rsidRPr="00C95165" w14:paraId="14574EFF" w14:textId="77777777" w:rsidTr="004D6C59">
        <w:trPr>
          <w:trHeight w:val="217"/>
        </w:trPr>
        <w:tc>
          <w:tcPr>
            <w:tcW w:w="5557" w:type="dxa"/>
            <w:tcBorders>
              <w:top w:val="single" w:sz="4" w:space="0" w:color="000000"/>
              <w:left w:val="nil"/>
              <w:right w:val="nil"/>
            </w:tcBorders>
            <w:vAlign w:val="bottom"/>
            <w:hideMark/>
          </w:tcPr>
          <w:p w14:paraId="035769E3" w14:textId="77777777" w:rsidR="00832DC9" w:rsidRPr="00F56223" w:rsidRDefault="00832DC9" w:rsidP="00832DC9">
            <w:pPr>
              <w:pStyle w:val="TableParagraph"/>
              <w:spacing w:before="2" w:line="240" w:lineRule="auto"/>
              <w:jc w:val="left"/>
              <w:rPr>
                <w:rFonts w:ascii="Arial" w:hAnsi="Arial" w:cs="Arial"/>
                <w:b/>
                <w:sz w:val="16"/>
              </w:rPr>
            </w:pPr>
            <w:r w:rsidRPr="00F56223">
              <w:rPr>
                <w:rFonts w:ascii="Arial" w:hAnsi="Arial" w:cs="Arial"/>
                <w:b/>
                <w:sz w:val="16"/>
              </w:rPr>
              <w:t>Total equity</w:t>
            </w:r>
          </w:p>
        </w:tc>
        <w:tc>
          <w:tcPr>
            <w:tcW w:w="1985" w:type="dxa"/>
            <w:tcBorders>
              <w:top w:val="single" w:sz="4" w:space="0" w:color="000000"/>
              <w:left w:val="nil"/>
              <w:right w:val="nil"/>
            </w:tcBorders>
            <w:vAlign w:val="bottom"/>
          </w:tcPr>
          <w:p w14:paraId="4B85E69B" w14:textId="02EE3B14" w:rsidR="00832DC9" w:rsidRPr="00C52166" w:rsidRDefault="00035E48" w:rsidP="00832DC9">
            <w:pPr>
              <w:pStyle w:val="TableParagraph"/>
              <w:spacing w:before="2" w:line="240" w:lineRule="auto"/>
              <w:ind w:right="312"/>
              <w:rPr>
                <w:rFonts w:ascii="Arial" w:hAnsi="Arial" w:cs="Arial"/>
                <w:b/>
                <w:bCs/>
                <w:sz w:val="16"/>
              </w:rPr>
            </w:pPr>
            <w:r>
              <w:rPr>
                <w:rFonts w:ascii="Arial" w:hAnsi="Arial" w:cs="Arial"/>
                <w:b/>
                <w:bCs/>
                <w:sz w:val="16"/>
              </w:rPr>
              <w:t>7</w:t>
            </w:r>
            <w:r w:rsidR="002A5CF3">
              <w:rPr>
                <w:rFonts w:ascii="Arial" w:hAnsi="Arial" w:cs="Arial"/>
                <w:b/>
                <w:bCs/>
                <w:sz w:val="16"/>
              </w:rPr>
              <w:t>0</w:t>
            </w:r>
            <w:r w:rsidR="000C263D">
              <w:rPr>
                <w:rFonts w:ascii="Arial" w:hAnsi="Arial" w:cs="Arial"/>
                <w:b/>
                <w:bCs/>
                <w:sz w:val="16"/>
              </w:rPr>
              <w:t>1,17</w:t>
            </w:r>
            <w:r w:rsidR="00A7581D">
              <w:rPr>
                <w:rFonts w:ascii="Arial" w:hAnsi="Arial" w:cs="Arial"/>
                <w:b/>
                <w:bCs/>
                <w:sz w:val="16"/>
              </w:rPr>
              <w:t>9</w:t>
            </w:r>
          </w:p>
        </w:tc>
        <w:tc>
          <w:tcPr>
            <w:tcW w:w="1843" w:type="dxa"/>
            <w:tcBorders>
              <w:top w:val="single" w:sz="4" w:space="0" w:color="000000"/>
              <w:left w:val="nil"/>
              <w:right w:val="nil"/>
            </w:tcBorders>
            <w:vAlign w:val="bottom"/>
            <w:hideMark/>
          </w:tcPr>
          <w:p w14:paraId="6AECAA8A" w14:textId="752CE0FD" w:rsidR="00832DC9" w:rsidRPr="00832DC9" w:rsidRDefault="00832DC9" w:rsidP="00832DC9">
            <w:pPr>
              <w:pStyle w:val="TableParagraph"/>
              <w:spacing w:before="2" w:line="240" w:lineRule="auto"/>
              <w:ind w:right="312"/>
              <w:rPr>
                <w:rFonts w:ascii="Arial" w:hAnsi="Arial" w:cs="Arial"/>
                <w:bCs/>
                <w:sz w:val="16"/>
              </w:rPr>
            </w:pPr>
            <w:r w:rsidRPr="00832DC9">
              <w:rPr>
                <w:rFonts w:ascii="Arial" w:hAnsi="Arial" w:cs="Arial"/>
                <w:bCs/>
                <w:sz w:val="16"/>
              </w:rPr>
              <w:t>3,</w:t>
            </w:r>
            <w:r w:rsidR="00CD783C">
              <w:rPr>
                <w:rFonts w:ascii="Arial" w:hAnsi="Arial" w:cs="Arial"/>
                <w:bCs/>
                <w:sz w:val="16"/>
              </w:rPr>
              <w:t>09</w:t>
            </w:r>
            <w:r w:rsidRPr="00832DC9">
              <w:rPr>
                <w:rFonts w:ascii="Arial" w:hAnsi="Arial" w:cs="Arial"/>
                <w:bCs/>
                <w:sz w:val="16"/>
              </w:rPr>
              <w:t>4,434</w:t>
            </w:r>
          </w:p>
        </w:tc>
      </w:tr>
      <w:tr w:rsidR="00832DC9" w:rsidRPr="00C95165" w14:paraId="6B27835F" w14:textId="77777777" w:rsidTr="004D6C59">
        <w:trPr>
          <w:trHeight w:val="217"/>
        </w:trPr>
        <w:tc>
          <w:tcPr>
            <w:tcW w:w="5557" w:type="dxa"/>
            <w:tcBorders>
              <w:top w:val="single" w:sz="4" w:space="0" w:color="000000"/>
              <w:left w:val="nil"/>
              <w:right w:val="nil"/>
            </w:tcBorders>
            <w:vAlign w:val="bottom"/>
          </w:tcPr>
          <w:p w14:paraId="58BC4314" w14:textId="77777777" w:rsidR="00832DC9" w:rsidRPr="00F56223" w:rsidRDefault="00832DC9" w:rsidP="00832DC9">
            <w:pPr>
              <w:pStyle w:val="TableParagraph"/>
              <w:spacing w:before="2" w:line="240" w:lineRule="auto"/>
              <w:jc w:val="left"/>
              <w:rPr>
                <w:rFonts w:ascii="Arial" w:hAnsi="Arial" w:cs="Arial"/>
                <w:b/>
                <w:sz w:val="16"/>
              </w:rPr>
            </w:pPr>
          </w:p>
        </w:tc>
        <w:tc>
          <w:tcPr>
            <w:tcW w:w="1985" w:type="dxa"/>
            <w:tcBorders>
              <w:top w:val="single" w:sz="4" w:space="0" w:color="000000"/>
              <w:left w:val="nil"/>
              <w:right w:val="nil"/>
            </w:tcBorders>
            <w:vAlign w:val="bottom"/>
          </w:tcPr>
          <w:p w14:paraId="4966381F" w14:textId="77777777" w:rsidR="00832DC9" w:rsidRPr="00C52166" w:rsidRDefault="00832DC9" w:rsidP="00832DC9">
            <w:pPr>
              <w:pStyle w:val="TableParagraph"/>
              <w:spacing w:before="2" w:line="240" w:lineRule="auto"/>
              <w:ind w:right="312"/>
              <w:rPr>
                <w:rFonts w:ascii="Arial" w:hAnsi="Arial" w:cs="Arial"/>
                <w:b/>
                <w:bCs/>
                <w:sz w:val="16"/>
              </w:rPr>
            </w:pPr>
          </w:p>
        </w:tc>
        <w:tc>
          <w:tcPr>
            <w:tcW w:w="1843" w:type="dxa"/>
            <w:tcBorders>
              <w:top w:val="single" w:sz="4" w:space="0" w:color="000000"/>
              <w:left w:val="nil"/>
              <w:right w:val="nil"/>
            </w:tcBorders>
            <w:vAlign w:val="bottom"/>
          </w:tcPr>
          <w:p w14:paraId="7183DFA4" w14:textId="77777777" w:rsidR="00832DC9" w:rsidRPr="00832DC9" w:rsidRDefault="00832DC9" w:rsidP="00832DC9">
            <w:pPr>
              <w:pStyle w:val="TableParagraph"/>
              <w:spacing w:before="2" w:line="240" w:lineRule="auto"/>
              <w:ind w:right="312"/>
              <w:rPr>
                <w:rFonts w:ascii="Arial" w:hAnsi="Arial" w:cs="Arial"/>
                <w:bCs/>
                <w:sz w:val="16"/>
              </w:rPr>
            </w:pPr>
          </w:p>
        </w:tc>
      </w:tr>
      <w:tr w:rsidR="00832DC9" w:rsidRPr="00C95165" w14:paraId="7AF286B9" w14:textId="77777777" w:rsidTr="00A913A8">
        <w:trPr>
          <w:trHeight w:val="454"/>
        </w:trPr>
        <w:tc>
          <w:tcPr>
            <w:tcW w:w="5557" w:type="dxa"/>
            <w:tcBorders>
              <w:top w:val="single" w:sz="4" w:space="0" w:color="auto"/>
              <w:left w:val="nil"/>
              <w:bottom w:val="single" w:sz="12" w:space="0" w:color="auto"/>
              <w:right w:val="nil"/>
            </w:tcBorders>
            <w:vAlign w:val="center"/>
          </w:tcPr>
          <w:p w14:paraId="2A34ECCC" w14:textId="77777777" w:rsidR="00832DC9" w:rsidRPr="00F56223" w:rsidRDefault="00832DC9" w:rsidP="00832DC9">
            <w:pPr>
              <w:pStyle w:val="TableParagraph"/>
              <w:spacing w:before="1" w:line="240" w:lineRule="auto"/>
              <w:jc w:val="left"/>
              <w:rPr>
                <w:rFonts w:ascii="Arial" w:hAnsi="Arial" w:cs="Arial"/>
                <w:b/>
                <w:sz w:val="16"/>
              </w:rPr>
            </w:pPr>
            <w:r w:rsidRPr="00F56223">
              <w:rPr>
                <w:rFonts w:ascii="Arial" w:hAnsi="Arial" w:cs="Arial"/>
                <w:b/>
                <w:sz w:val="16"/>
              </w:rPr>
              <w:t>Total liabilities and equity</w:t>
            </w:r>
          </w:p>
        </w:tc>
        <w:tc>
          <w:tcPr>
            <w:tcW w:w="1985" w:type="dxa"/>
            <w:tcBorders>
              <w:top w:val="single" w:sz="4" w:space="0" w:color="auto"/>
              <w:left w:val="nil"/>
              <w:bottom w:val="single" w:sz="12" w:space="0" w:color="auto"/>
              <w:right w:val="nil"/>
            </w:tcBorders>
            <w:vAlign w:val="center"/>
          </w:tcPr>
          <w:p w14:paraId="1BB82D1C" w14:textId="541D2F14" w:rsidR="00832DC9" w:rsidRPr="00C52166" w:rsidRDefault="000C7BA1" w:rsidP="00832DC9">
            <w:pPr>
              <w:pStyle w:val="TableParagraph"/>
              <w:spacing w:before="1" w:line="240" w:lineRule="auto"/>
              <w:ind w:right="312"/>
              <w:rPr>
                <w:rFonts w:ascii="Arial" w:hAnsi="Arial" w:cs="Arial"/>
                <w:b/>
                <w:bCs/>
                <w:sz w:val="16"/>
                <w:szCs w:val="16"/>
              </w:rPr>
            </w:pPr>
            <w:r w:rsidRPr="00C52166">
              <w:rPr>
                <w:rFonts w:ascii="Arial" w:hAnsi="Arial" w:cs="Arial"/>
                <w:b/>
                <w:bCs/>
                <w:sz w:val="16"/>
                <w:szCs w:val="16"/>
              </w:rPr>
              <w:t>1</w:t>
            </w:r>
            <w:r w:rsidR="00832DC9" w:rsidRPr="00C52166">
              <w:rPr>
                <w:rFonts w:ascii="Arial" w:hAnsi="Arial" w:cs="Arial"/>
                <w:b/>
                <w:bCs/>
                <w:sz w:val="16"/>
                <w:szCs w:val="16"/>
              </w:rPr>
              <w:t>,</w:t>
            </w:r>
            <w:r w:rsidRPr="00C52166">
              <w:rPr>
                <w:rFonts w:ascii="Arial" w:hAnsi="Arial" w:cs="Arial"/>
                <w:b/>
                <w:bCs/>
                <w:sz w:val="16"/>
                <w:szCs w:val="16"/>
              </w:rPr>
              <w:t>201</w:t>
            </w:r>
            <w:r w:rsidR="00832DC9" w:rsidRPr="00C52166">
              <w:rPr>
                <w:rFonts w:ascii="Arial" w:hAnsi="Arial" w:cs="Arial"/>
                <w:b/>
                <w:bCs/>
                <w:sz w:val="16"/>
                <w:szCs w:val="16"/>
              </w:rPr>
              <w:t>,</w:t>
            </w:r>
            <w:r w:rsidRPr="00C52166">
              <w:rPr>
                <w:rFonts w:ascii="Arial" w:hAnsi="Arial" w:cs="Arial"/>
                <w:b/>
                <w:bCs/>
                <w:sz w:val="16"/>
                <w:szCs w:val="16"/>
              </w:rPr>
              <w:t>04</w:t>
            </w:r>
            <w:r w:rsidR="00A7581D">
              <w:rPr>
                <w:rFonts w:ascii="Arial" w:hAnsi="Arial" w:cs="Arial"/>
                <w:b/>
                <w:bCs/>
                <w:sz w:val="16"/>
                <w:szCs w:val="16"/>
              </w:rPr>
              <w:t>8</w:t>
            </w:r>
          </w:p>
        </w:tc>
        <w:tc>
          <w:tcPr>
            <w:tcW w:w="1843" w:type="dxa"/>
            <w:tcBorders>
              <w:top w:val="single" w:sz="4" w:space="0" w:color="auto"/>
              <w:left w:val="nil"/>
              <w:bottom w:val="single" w:sz="12" w:space="0" w:color="auto"/>
              <w:right w:val="nil"/>
            </w:tcBorders>
            <w:vAlign w:val="center"/>
          </w:tcPr>
          <w:p w14:paraId="3CA40221" w14:textId="6943B876" w:rsidR="00832DC9" w:rsidRPr="00832DC9" w:rsidRDefault="00832DC9" w:rsidP="00832DC9">
            <w:pPr>
              <w:pStyle w:val="TableParagraph"/>
              <w:spacing w:before="1" w:line="240" w:lineRule="auto"/>
              <w:ind w:right="312"/>
              <w:rPr>
                <w:rFonts w:ascii="Arial" w:hAnsi="Arial" w:cs="Arial"/>
                <w:bCs/>
                <w:sz w:val="16"/>
              </w:rPr>
            </w:pPr>
            <w:r w:rsidRPr="00832DC9">
              <w:rPr>
                <w:rFonts w:ascii="Arial" w:hAnsi="Arial" w:cs="Arial"/>
                <w:bCs/>
                <w:sz w:val="16"/>
                <w:szCs w:val="16"/>
              </w:rPr>
              <w:t>3,663,230</w:t>
            </w:r>
          </w:p>
        </w:tc>
      </w:tr>
      <w:tr w:rsidR="00A84E46" w:rsidRPr="00F56223" w14:paraId="44C2C8FC" w14:textId="77777777" w:rsidTr="00F54927">
        <w:trPr>
          <w:trHeight w:val="775"/>
        </w:trPr>
        <w:tc>
          <w:tcPr>
            <w:tcW w:w="5557" w:type="dxa"/>
            <w:tcBorders>
              <w:top w:val="single" w:sz="12" w:space="0" w:color="auto"/>
            </w:tcBorders>
            <w:vAlign w:val="center"/>
            <w:hideMark/>
          </w:tcPr>
          <w:p w14:paraId="6051EDB1" w14:textId="77777777" w:rsidR="00880815" w:rsidRPr="00F56223" w:rsidRDefault="00A84E46" w:rsidP="00D67595">
            <w:pPr>
              <w:pStyle w:val="TableParagraph"/>
              <w:spacing w:line="240" w:lineRule="auto"/>
              <w:ind w:right="2330"/>
              <w:jc w:val="left"/>
              <w:rPr>
                <w:rFonts w:ascii="Arial" w:hAnsi="Arial" w:cs="Arial"/>
                <w:sz w:val="16"/>
              </w:rPr>
            </w:pPr>
            <w:r w:rsidRPr="00F56223">
              <w:rPr>
                <w:rFonts w:ascii="Arial" w:hAnsi="Arial" w:cs="Arial"/>
                <w:i/>
                <w:sz w:val="16"/>
              </w:rPr>
              <w:t xml:space="preserve">Going concern </w:t>
            </w:r>
            <w:r w:rsidRPr="00795F41">
              <w:rPr>
                <w:rFonts w:ascii="Arial" w:hAnsi="Arial" w:cs="Arial"/>
                <w:i/>
                <w:iCs/>
                <w:sz w:val="16"/>
              </w:rPr>
              <w:t xml:space="preserve">[note 1] </w:t>
            </w:r>
          </w:p>
          <w:p w14:paraId="36DEC5DC" w14:textId="20FA6602" w:rsidR="00A84E46" w:rsidRPr="00F56223" w:rsidRDefault="00A84E46" w:rsidP="00D67595">
            <w:pPr>
              <w:pStyle w:val="TableParagraph"/>
              <w:spacing w:line="240" w:lineRule="auto"/>
              <w:ind w:right="2330"/>
              <w:jc w:val="left"/>
              <w:rPr>
                <w:rFonts w:ascii="Arial" w:hAnsi="Arial" w:cs="Arial"/>
                <w:sz w:val="16"/>
              </w:rPr>
            </w:pPr>
            <w:r w:rsidRPr="00284FD9">
              <w:rPr>
                <w:rFonts w:ascii="Arial" w:hAnsi="Arial" w:cs="Arial"/>
                <w:i/>
                <w:sz w:val="16"/>
              </w:rPr>
              <w:t xml:space="preserve">Subsequent events </w:t>
            </w:r>
            <w:r w:rsidRPr="00284FD9">
              <w:rPr>
                <w:rFonts w:ascii="Arial" w:hAnsi="Arial" w:cs="Arial"/>
                <w:i/>
                <w:iCs/>
                <w:sz w:val="16"/>
              </w:rPr>
              <w:t>[note 1</w:t>
            </w:r>
            <w:r w:rsidR="00C50EBB">
              <w:rPr>
                <w:rFonts w:ascii="Arial" w:hAnsi="Arial" w:cs="Arial"/>
                <w:i/>
                <w:iCs/>
                <w:sz w:val="16"/>
              </w:rPr>
              <w:t>6</w:t>
            </w:r>
            <w:r w:rsidRPr="00284FD9">
              <w:rPr>
                <w:rFonts w:ascii="Arial" w:hAnsi="Arial" w:cs="Arial"/>
                <w:i/>
                <w:iCs/>
                <w:sz w:val="16"/>
              </w:rPr>
              <w:t>]</w:t>
            </w:r>
          </w:p>
          <w:p w14:paraId="45276623" w14:textId="198E9992" w:rsidR="00880815" w:rsidRPr="00F56223" w:rsidRDefault="00880815" w:rsidP="00D67595">
            <w:pPr>
              <w:pStyle w:val="TableParagraph"/>
              <w:spacing w:line="240" w:lineRule="auto"/>
              <w:jc w:val="left"/>
              <w:rPr>
                <w:rFonts w:ascii="Arial" w:hAnsi="Arial" w:cs="Arial"/>
                <w:sz w:val="16"/>
              </w:rPr>
            </w:pPr>
            <w:r w:rsidRPr="00F56223">
              <w:rPr>
                <w:rFonts w:ascii="Arial" w:hAnsi="Arial" w:cs="Arial"/>
                <w:i/>
                <w:sz w:val="16"/>
              </w:rPr>
              <w:t>See accompanying notes to the consolidated financial statements</w:t>
            </w:r>
          </w:p>
        </w:tc>
        <w:tc>
          <w:tcPr>
            <w:tcW w:w="1985" w:type="dxa"/>
            <w:tcBorders>
              <w:top w:val="single" w:sz="12" w:space="0" w:color="auto"/>
            </w:tcBorders>
          </w:tcPr>
          <w:p w14:paraId="13861B2B" w14:textId="77777777" w:rsidR="00A84E46" w:rsidRPr="002234CD" w:rsidRDefault="00A84E46" w:rsidP="00E70882">
            <w:pPr>
              <w:pStyle w:val="TableParagraph"/>
              <w:spacing w:line="240" w:lineRule="auto"/>
              <w:rPr>
                <w:rFonts w:ascii="Arial" w:hAnsi="Arial" w:cs="Arial"/>
                <w:sz w:val="16"/>
              </w:rPr>
            </w:pPr>
          </w:p>
        </w:tc>
        <w:tc>
          <w:tcPr>
            <w:tcW w:w="1843" w:type="dxa"/>
            <w:tcBorders>
              <w:top w:val="single" w:sz="12" w:space="0" w:color="auto"/>
            </w:tcBorders>
          </w:tcPr>
          <w:p w14:paraId="1ACCFAEB" w14:textId="77777777" w:rsidR="00A84E46" w:rsidRPr="002234CD" w:rsidRDefault="00A84E46" w:rsidP="00E70882">
            <w:pPr>
              <w:pStyle w:val="TableParagraph"/>
              <w:spacing w:line="240" w:lineRule="auto"/>
              <w:jc w:val="left"/>
              <w:rPr>
                <w:rFonts w:ascii="Arial" w:hAnsi="Arial" w:cs="Arial"/>
                <w:sz w:val="16"/>
              </w:rPr>
            </w:pPr>
          </w:p>
        </w:tc>
      </w:tr>
      <w:tr w:rsidR="003D566F" w:rsidRPr="00F56223" w14:paraId="576F7BB2" w14:textId="77777777" w:rsidTr="00D67595">
        <w:trPr>
          <w:trHeight w:val="274"/>
        </w:trPr>
        <w:tc>
          <w:tcPr>
            <w:tcW w:w="9385" w:type="dxa"/>
            <w:gridSpan w:val="3"/>
          </w:tcPr>
          <w:p w14:paraId="1CFE1F0F" w14:textId="6DE1545F" w:rsidR="00C17772" w:rsidRPr="002234CD" w:rsidRDefault="003D566F" w:rsidP="00EF3A21">
            <w:pPr>
              <w:spacing w:before="120"/>
              <w:jc w:val="center"/>
              <w:rPr>
                <w:rFonts w:ascii="Arial" w:hAnsi="Arial" w:cs="Arial"/>
                <w:i/>
                <w:sz w:val="16"/>
              </w:rPr>
            </w:pPr>
            <w:r w:rsidRPr="002234CD">
              <w:rPr>
                <w:rFonts w:ascii="Arial" w:hAnsi="Arial" w:cs="Arial"/>
                <w:i/>
                <w:sz w:val="16"/>
              </w:rPr>
              <w:t xml:space="preserve">These </w:t>
            </w:r>
            <w:r w:rsidR="00DE5CA5" w:rsidRPr="002234CD">
              <w:rPr>
                <w:rFonts w:ascii="Arial" w:hAnsi="Arial" w:cs="Arial"/>
                <w:i/>
                <w:sz w:val="16"/>
              </w:rPr>
              <w:t>consolidated financial</w:t>
            </w:r>
            <w:r w:rsidRPr="002234CD">
              <w:rPr>
                <w:rFonts w:ascii="Arial" w:hAnsi="Arial" w:cs="Arial"/>
                <w:i/>
                <w:sz w:val="16"/>
              </w:rPr>
              <w:t xml:space="preserve"> statements are authorized for issue by the Board </w:t>
            </w:r>
            <w:r w:rsidRPr="001E0283">
              <w:rPr>
                <w:rFonts w:ascii="Arial" w:hAnsi="Arial" w:cs="Arial"/>
                <w:i/>
                <w:sz w:val="16"/>
              </w:rPr>
              <w:t xml:space="preserve">of Directors on </w:t>
            </w:r>
            <w:r w:rsidR="00766E3A" w:rsidRPr="001E0283">
              <w:rPr>
                <w:rFonts w:ascii="Arial" w:hAnsi="Arial" w:cs="Arial"/>
                <w:i/>
                <w:sz w:val="16"/>
              </w:rPr>
              <w:t>April</w:t>
            </w:r>
            <w:r w:rsidR="00237B6F" w:rsidRPr="001E0283">
              <w:rPr>
                <w:rFonts w:ascii="Arial" w:hAnsi="Arial" w:cs="Arial"/>
                <w:i/>
                <w:sz w:val="16"/>
              </w:rPr>
              <w:t xml:space="preserve"> </w:t>
            </w:r>
            <w:r w:rsidR="00717407" w:rsidRPr="001E0283">
              <w:rPr>
                <w:rFonts w:ascii="Arial" w:hAnsi="Arial" w:cs="Arial"/>
                <w:i/>
                <w:sz w:val="16"/>
              </w:rPr>
              <w:t>16</w:t>
            </w:r>
            <w:r w:rsidR="00237B6F" w:rsidRPr="001E0283">
              <w:rPr>
                <w:rFonts w:ascii="Arial" w:hAnsi="Arial" w:cs="Arial"/>
                <w:i/>
                <w:sz w:val="16"/>
              </w:rPr>
              <w:t>,</w:t>
            </w:r>
            <w:r w:rsidR="00766E3A" w:rsidRPr="001E0283">
              <w:rPr>
                <w:rFonts w:ascii="Arial" w:hAnsi="Arial" w:cs="Arial"/>
                <w:i/>
                <w:sz w:val="16"/>
              </w:rPr>
              <w:t xml:space="preserve"> </w:t>
            </w:r>
            <w:r w:rsidR="00237B6F" w:rsidRPr="001E0283">
              <w:rPr>
                <w:rFonts w:ascii="Arial" w:hAnsi="Arial" w:cs="Arial"/>
                <w:i/>
                <w:sz w:val="16"/>
              </w:rPr>
              <w:t>202</w:t>
            </w:r>
            <w:r w:rsidR="00284FD9" w:rsidRPr="001E0283">
              <w:rPr>
                <w:rFonts w:ascii="Arial" w:hAnsi="Arial" w:cs="Arial"/>
                <w:i/>
                <w:sz w:val="16"/>
              </w:rPr>
              <w:t>4</w:t>
            </w:r>
          </w:p>
          <w:p w14:paraId="23A82D46" w14:textId="48D4AC35" w:rsidR="003D566F" w:rsidRPr="002234CD" w:rsidRDefault="00880815" w:rsidP="00EF3A21">
            <w:pPr>
              <w:spacing w:before="60" w:line="360" w:lineRule="auto"/>
              <w:jc w:val="center"/>
              <w:rPr>
                <w:rFonts w:ascii="Arial" w:hAnsi="Arial" w:cs="Arial"/>
                <w:i/>
                <w:sz w:val="16"/>
              </w:rPr>
            </w:pPr>
            <w:r w:rsidRPr="002234CD">
              <w:rPr>
                <w:rFonts w:ascii="Arial" w:hAnsi="Arial" w:cs="Arial"/>
                <w:i/>
                <w:sz w:val="16"/>
              </w:rPr>
              <w:t>and t</w:t>
            </w:r>
            <w:r w:rsidR="003D566F" w:rsidRPr="002234CD">
              <w:rPr>
                <w:rFonts w:ascii="Arial" w:hAnsi="Arial" w:cs="Arial"/>
                <w:i/>
                <w:sz w:val="16"/>
              </w:rPr>
              <w:t>hey are signed on the Corporation's behalf by:</w:t>
            </w:r>
          </w:p>
          <w:p w14:paraId="1CF50B4B" w14:textId="08175367" w:rsidR="00C17772" w:rsidRPr="002234CD" w:rsidRDefault="00C17772" w:rsidP="00E70882">
            <w:pPr>
              <w:tabs>
                <w:tab w:val="left" w:pos="5974"/>
              </w:tabs>
              <w:spacing w:before="120"/>
              <w:jc w:val="center"/>
              <w:rPr>
                <w:rFonts w:ascii="Arial" w:hAnsi="Arial" w:cs="Arial"/>
                <w:i/>
                <w:sz w:val="16"/>
              </w:rPr>
            </w:pPr>
            <w:r w:rsidRPr="002234CD">
              <w:rPr>
                <w:rFonts w:ascii="Arial" w:hAnsi="Arial" w:cs="Arial"/>
                <w:i/>
                <w:sz w:val="16"/>
              </w:rPr>
              <w:t>"Ron</w:t>
            </w:r>
            <w:r w:rsidR="00237B6F" w:rsidRPr="002234CD">
              <w:rPr>
                <w:rFonts w:ascii="Arial" w:hAnsi="Arial" w:cs="Arial"/>
                <w:i/>
                <w:spacing w:val="1"/>
                <w:sz w:val="16"/>
              </w:rPr>
              <w:t xml:space="preserve"> Little"</w:t>
            </w:r>
            <w:r w:rsidRPr="002234CD">
              <w:rPr>
                <w:rFonts w:ascii="Arial" w:hAnsi="Arial" w:cs="Arial"/>
                <w:i/>
                <w:sz w:val="16"/>
              </w:rPr>
              <w:t xml:space="preserve">                                                               "John Seaman"</w:t>
            </w:r>
          </w:p>
          <w:p w14:paraId="7FBF0260" w14:textId="1CF086E8" w:rsidR="00C17772" w:rsidRPr="002234CD" w:rsidRDefault="00C17772" w:rsidP="00E70882">
            <w:pPr>
              <w:tabs>
                <w:tab w:val="left" w:pos="5974"/>
              </w:tabs>
              <w:jc w:val="center"/>
              <w:rPr>
                <w:rFonts w:ascii="Arial" w:hAnsi="Arial" w:cs="Arial"/>
                <w:i/>
                <w:sz w:val="16"/>
              </w:rPr>
            </w:pPr>
            <w:r w:rsidRPr="002234CD">
              <w:rPr>
                <w:rFonts w:ascii="Arial" w:hAnsi="Arial" w:cs="Arial"/>
                <w:i/>
                <w:sz w:val="16"/>
              </w:rPr>
              <w:t xml:space="preserve">Director  </w:t>
            </w:r>
            <w:r w:rsidR="00F84D5E" w:rsidRPr="002234CD">
              <w:rPr>
                <w:rFonts w:ascii="Arial" w:hAnsi="Arial" w:cs="Arial"/>
                <w:i/>
                <w:sz w:val="16"/>
              </w:rPr>
              <w:t xml:space="preserve">     </w:t>
            </w:r>
            <w:r w:rsidRPr="002234CD">
              <w:rPr>
                <w:rFonts w:ascii="Arial" w:hAnsi="Arial" w:cs="Arial"/>
                <w:i/>
                <w:sz w:val="16"/>
              </w:rPr>
              <w:t xml:space="preserve"> </w:t>
            </w:r>
            <w:r w:rsidR="00F84D5E" w:rsidRPr="002234CD">
              <w:rPr>
                <w:rFonts w:ascii="Arial" w:hAnsi="Arial" w:cs="Arial"/>
                <w:i/>
                <w:sz w:val="16"/>
              </w:rPr>
              <w:t xml:space="preserve">   </w:t>
            </w:r>
            <w:r w:rsidRPr="002234CD">
              <w:rPr>
                <w:rFonts w:ascii="Arial" w:hAnsi="Arial" w:cs="Arial"/>
                <w:i/>
                <w:sz w:val="16"/>
              </w:rPr>
              <w:t xml:space="preserve">        </w:t>
            </w:r>
            <w:r w:rsidR="00F84D5E" w:rsidRPr="002234CD">
              <w:rPr>
                <w:rFonts w:ascii="Arial" w:hAnsi="Arial" w:cs="Arial"/>
                <w:i/>
                <w:sz w:val="16"/>
              </w:rPr>
              <w:t xml:space="preserve">      </w:t>
            </w:r>
            <w:r w:rsidRPr="002234CD">
              <w:rPr>
                <w:rFonts w:ascii="Arial" w:hAnsi="Arial" w:cs="Arial"/>
                <w:i/>
                <w:sz w:val="16"/>
              </w:rPr>
              <w:t xml:space="preserve">  </w:t>
            </w:r>
            <w:r w:rsidR="00F84D5E" w:rsidRPr="002234CD">
              <w:rPr>
                <w:rFonts w:ascii="Arial" w:hAnsi="Arial" w:cs="Arial"/>
                <w:i/>
                <w:sz w:val="16"/>
              </w:rPr>
              <w:t xml:space="preserve"> </w:t>
            </w:r>
            <w:r w:rsidRPr="002234CD">
              <w:rPr>
                <w:rFonts w:ascii="Arial" w:hAnsi="Arial" w:cs="Arial"/>
                <w:i/>
                <w:sz w:val="16"/>
              </w:rPr>
              <w:t xml:space="preserve">                                             </w:t>
            </w:r>
            <w:proofErr w:type="spellStart"/>
            <w:r w:rsidRPr="002234CD">
              <w:rPr>
                <w:rFonts w:ascii="Arial" w:hAnsi="Arial" w:cs="Arial"/>
                <w:i/>
                <w:sz w:val="16"/>
              </w:rPr>
              <w:t>Director</w:t>
            </w:r>
            <w:proofErr w:type="spellEnd"/>
          </w:p>
          <w:p w14:paraId="7E13C4BD" w14:textId="77777777" w:rsidR="003D566F" w:rsidRPr="002234CD" w:rsidRDefault="003D566F" w:rsidP="00E70882">
            <w:pPr>
              <w:spacing w:line="360" w:lineRule="auto"/>
              <w:ind w:right="913"/>
              <w:jc w:val="center"/>
              <w:rPr>
                <w:rFonts w:ascii="Arial" w:hAnsi="Arial" w:cs="Arial"/>
                <w:sz w:val="16"/>
              </w:rPr>
            </w:pPr>
          </w:p>
        </w:tc>
      </w:tr>
    </w:tbl>
    <w:p w14:paraId="4D4FF024" w14:textId="619A2B53" w:rsidR="00035B0F" w:rsidRPr="00F56223" w:rsidRDefault="00035B0F">
      <w:pPr>
        <w:rPr>
          <w:rFonts w:ascii="Arial" w:hAnsi="Arial" w:cs="Arial"/>
        </w:rPr>
        <w:sectPr w:rsidR="00035B0F" w:rsidRPr="00F56223" w:rsidSect="00D16CAB">
          <w:headerReference w:type="default" r:id="rId13"/>
          <w:footerReference w:type="default" r:id="rId14"/>
          <w:pgSz w:w="12240" w:h="15840"/>
          <w:pgMar w:top="2223" w:right="799" w:bottom="1661" w:left="1718" w:header="1440" w:footer="1463" w:gutter="0"/>
          <w:pgNumType w:start="4"/>
          <w:cols w:space="720"/>
        </w:sectPr>
      </w:pPr>
    </w:p>
    <w:p w14:paraId="0EBC84E0" w14:textId="65168B70" w:rsidR="00035B0F" w:rsidRPr="00F56223" w:rsidRDefault="00035B0F">
      <w:pPr>
        <w:pStyle w:val="BodyText"/>
        <w:rPr>
          <w:rFonts w:ascii="Arial" w:hAnsi="Arial" w:cs="Arial"/>
        </w:rPr>
      </w:pPr>
    </w:p>
    <w:p w14:paraId="71423926" w14:textId="5FC915EE" w:rsidR="00035B0F" w:rsidRPr="00D90E5B" w:rsidRDefault="005E4909" w:rsidP="005310AF">
      <w:pPr>
        <w:pStyle w:val="Heading1"/>
        <w:ind w:left="624" w:right="794"/>
        <w:rPr>
          <w:rFonts w:ascii="Arial" w:hAnsi="Arial" w:cs="Arial"/>
        </w:rPr>
      </w:pPr>
      <w:bookmarkStart w:id="3" w:name="_Hlk41381549"/>
      <w:r w:rsidRPr="00D90E5B">
        <w:rPr>
          <w:rFonts w:ascii="Arial" w:hAnsi="Arial" w:cs="Arial"/>
        </w:rPr>
        <w:t xml:space="preserve">CONSOLIDATED STATEMENTS OF </w:t>
      </w:r>
      <w:r w:rsidR="00E25C03" w:rsidRPr="00D90E5B">
        <w:rPr>
          <w:rFonts w:ascii="Arial" w:hAnsi="Arial" w:cs="Arial"/>
        </w:rPr>
        <w:t>LOSS</w:t>
      </w:r>
      <w:r w:rsidRPr="00D90E5B">
        <w:rPr>
          <w:rFonts w:ascii="Arial" w:hAnsi="Arial" w:cs="Arial"/>
        </w:rPr>
        <w:t xml:space="preserve"> AND COMPREHENSIVE </w:t>
      </w:r>
      <w:r w:rsidR="00E25C03" w:rsidRPr="00D90E5B">
        <w:rPr>
          <w:rFonts w:ascii="Arial" w:hAnsi="Arial" w:cs="Arial"/>
        </w:rPr>
        <w:t>LOSS</w:t>
      </w:r>
    </w:p>
    <w:p w14:paraId="1497545A" w14:textId="77777777" w:rsidR="00035B0F" w:rsidRPr="00F56223" w:rsidRDefault="005E4909">
      <w:pPr>
        <w:pStyle w:val="Heading2"/>
        <w:ind w:right="1198"/>
        <w:rPr>
          <w:rFonts w:ascii="Arial" w:hAnsi="Arial" w:cs="Arial"/>
        </w:rPr>
      </w:pPr>
      <w:r w:rsidRPr="00D90E5B">
        <w:rPr>
          <w:rFonts w:ascii="Arial" w:hAnsi="Arial" w:cs="Arial"/>
        </w:rPr>
        <w:t>(Stated in Canadian Dollars)</w:t>
      </w:r>
    </w:p>
    <w:p w14:paraId="0C8BC9C1" w14:textId="77777777" w:rsidR="00035B0F" w:rsidRPr="00F56223" w:rsidRDefault="00035B0F">
      <w:pPr>
        <w:pStyle w:val="BodyText"/>
        <w:spacing w:before="4"/>
        <w:rPr>
          <w:rFonts w:ascii="Arial" w:hAnsi="Arial" w:cs="Arial"/>
          <w:sz w:val="20"/>
        </w:rPr>
      </w:pPr>
    </w:p>
    <w:tbl>
      <w:tblPr>
        <w:tblW w:w="9345" w:type="dxa"/>
        <w:tblInd w:w="153" w:type="dxa"/>
        <w:tblLayout w:type="fixed"/>
        <w:tblLook w:val="04A0" w:firstRow="1" w:lastRow="0" w:firstColumn="1" w:lastColumn="0" w:noHBand="0" w:noVBand="1"/>
      </w:tblPr>
      <w:tblGrid>
        <w:gridCol w:w="5517"/>
        <w:gridCol w:w="1843"/>
        <w:gridCol w:w="1985"/>
      </w:tblGrid>
      <w:tr w:rsidR="00766E3A" w:rsidRPr="00F56223" w14:paraId="5EB78A83" w14:textId="77777777" w:rsidTr="004D7BC0">
        <w:trPr>
          <w:trHeight w:val="345"/>
        </w:trPr>
        <w:tc>
          <w:tcPr>
            <w:tcW w:w="5517" w:type="dxa"/>
            <w:tcBorders>
              <w:top w:val="nil"/>
              <w:left w:val="nil"/>
              <w:bottom w:val="nil"/>
              <w:right w:val="nil"/>
            </w:tcBorders>
            <w:shd w:val="clear" w:color="auto" w:fill="auto"/>
            <w:hideMark/>
          </w:tcPr>
          <w:p w14:paraId="01DDAED2" w14:textId="77777777" w:rsidR="00766E3A" w:rsidRPr="00F56223" w:rsidRDefault="00766E3A" w:rsidP="00CB281F">
            <w:pPr>
              <w:rPr>
                <w:rFonts w:ascii="Arial" w:hAnsi="Arial" w:cs="Arial"/>
              </w:rPr>
            </w:pPr>
          </w:p>
        </w:tc>
        <w:tc>
          <w:tcPr>
            <w:tcW w:w="3828" w:type="dxa"/>
            <w:gridSpan w:val="2"/>
            <w:tcBorders>
              <w:top w:val="nil"/>
              <w:left w:val="nil"/>
              <w:bottom w:val="nil"/>
              <w:right w:val="nil"/>
            </w:tcBorders>
            <w:shd w:val="clear" w:color="auto" w:fill="auto"/>
            <w:hideMark/>
          </w:tcPr>
          <w:p w14:paraId="797D807F" w14:textId="67ADFC99" w:rsidR="00766E3A" w:rsidRPr="00F56223" w:rsidRDefault="00766E3A" w:rsidP="003C21B6">
            <w:pPr>
              <w:jc w:val="center"/>
              <w:rPr>
                <w:rFonts w:ascii="Arial" w:hAnsi="Arial" w:cs="Arial"/>
                <w:sz w:val="16"/>
                <w:szCs w:val="16"/>
              </w:rPr>
            </w:pPr>
            <w:r w:rsidRPr="00F56223">
              <w:rPr>
                <w:rFonts w:ascii="Arial" w:hAnsi="Arial" w:cs="Arial"/>
                <w:sz w:val="16"/>
                <w:szCs w:val="16"/>
              </w:rPr>
              <w:t xml:space="preserve">For the </w:t>
            </w:r>
            <w:r>
              <w:rPr>
                <w:rFonts w:ascii="Arial" w:hAnsi="Arial" w:cs="Arial"/>
                <w:sz w:val="16"/>
                <w:szCs w:val="16"/>
              </w:rPr>
              <w:t>year</w:t>
            </w:r>
            <w:r w:rsidRPr="00F56223">
              <w:rPr>
                <w:rFonts w:ascii="Arial" w:hAnsi="Arial" w:cs="Arial"/>
                <w:sz w:val="16"/>
                <w:szCs w:val="16"/>
              </w:rPr>
              <w:t xml:space="preserve"> ended </w:t>
            </w:r>
            <w:r>
              <w:rPr>
                <w:rFonts w:ascii="Arial" w:hAnsi="Arial" w:cs="Arial"/>
                <w:sz w:val="16"/>
                <w:szCs w:val="16"/>
              </w:rPr>
              <w:t>December</w:t>
            </w:r>
            <w:r w:rsidRPr="00F56223">
              <w:rPr>
                <w:rFonts w:ascii="Arial" w:hAnsi="Arial" w:cs="Arial"/>
                <w:sz w:val="16"/>
                <w:szCs w:val="16"/>
              </w:rPr>
              <w:t xml:space="preserve"> 3</w:t>
            </w:r>
            <w:r>
              <w:rPr>
                <w:rFonts w:ascii="Arial" w:hAnsi="Arial" w:cs="Arial"/>
                <w:sz w:val="16"/>
                <w:szCs w:val="16"/>
              </w:rPr>
              <w:t>1</w:t>
            </w:r>
          </w:p>
        </w:tc>
      </w:tr>
      <w:tr w:rsidR="00832DC9" w:rsidRPr="00F56223" w14:paraId="2512CD39" w14:textId="77777777" w:rsidTr="0032126E">
        <w:trPr>
          <w:trHeight w:val="544"/>
        </w:trPr>
        <w:tc>
          <w:tcPr>
            <w:tcW w:w="5517" w:type="dxa"/>
            <w:tcBorders>
              <w:top w:val="nil"/>
              <w:left w:val="nil"/>
              <w:bottom w:val="single" w:sz="4" w:space="0" w:color="000000"/>
              <w:right w:val="nil"/>
            </w:tcBorders>
            <w:shd w:val="clear" w:color="auto" w:fill="auto"/>
            <w:hideMark/>
          </w:tcPr>
          <w:p w14:paraId="42499F87" w14:textId="5BA954D5" w:rsidR="00832DC9" w:rsidRPr="00F56223" w:rsidRDefault="00832DC9" w:rsidP="00832DC9">
            <w:pPr>
              <w:rPr>
                <w:rFonts w:ascii="Arial" w:hAnsi="Arial" w:cs="Arial"/>
                <w:color w:val="000000"/>
                <w:sz w:val="16"/>
                <w:szCs w:val="16"/>
              </w:rPr>
            </w:pPr>
          </w:p>
        </w:tc>
        <w:tc>
          <w:tcPr>
            <w:tcW w:w="1843" w:type="dxa"/>
            <w:tcBorders>
              <w:top w:val="nil"/>
              <w:left w:val="nil"/>
              <w:bottom w:val="single" w:sz="4" w:space="0" w:color="000000"/>
              <w:right w:val="nil"/>
            </w:tcBorders>
            <w:shd w:val="clear" w:color="auto" w:fill="auto"/>
            <w:hideMark/>
          </w:tcPr>
          <w:p w14:paraId="6A9E046C" w14:textId="5A9DC072" w:rsidR="00832DC9" w:rsidRPr="00C52166" w:rsidRDefault="00832DC9" w:rsidP="00832DC9">
            <w:pPr>
              <w:ind w:right="312"/>
              <w:jc w:val="right"/>
              <w:rPr>
                <w:rFonts w:ascii="Arial" w:hAnsi="Arial" w:cs="Arial"/>
                <w:b/>
                <w:bCs/>
                <w:sz w:val="16"/>
                <w:szCs w:val="16"/>
              </w:rPr>
            </w:pPr>
            <w:r w:rsidRPr="00C52166">
              <w:rPr>
                <w:rFonts w:ascii="Arial" w:hAnsi="Arial" w:cs="Arial"/>
                <w:b/>
                <w:bCs/>
                <w:sz w:val="16"/>
                <w:szCs w:val="16"/>
              </w:rPr>
              <w:t>2023</w:t>
            </w:r>
            <w:r w:rsidRPr="00C52166">
              <w:rPr>
                <w:rFonts w:ascii="Arial" w:hAnsi="Arial" w:cs="Arial"/>
                <w:b/>
                <w:bCs/>
                <w:sz w:val="16"/>
                <w:szCs w:val="16"/>
              </w:rPr>
              <w:br/>
              <w:t>$</w:t>
            </w:r>
          </w:p>
        </w:tc>
        <w:tc>
          <w:tcPr>
            <w:tcW w:w="1985" w:type="dxa"/>
            <w:tcBorders>
              <w:top w:val="nil"/>
              <w:left w:val="nil"/>
              <w:bottom w:val="single" w:sz="4" w:space="0" w:color="000000"/>
              <w:right w:val="nil"/>
            </w:tcBorders>
            <w:shd w:val="clear" w:color="auto" w:fill="auto"/>
            <w:hideMark/>
          </w:tcPr>
          <w:p w14:paraId="4B1CA5D6" w14:textId="4BCD68BD" w:rsidR="00832DC9" w:rsidRPr="002234CD" w:rsidRDefault="00832DC9" w:rsidP="00832DC9">
            <w:pPr>
              <w:ind w:right="312"/>
              <w:jc w:val="right"/>
              <w:rPr>
                <w:rFonts w:ascii="Arial" w:hAnsi="Arial" w:cs="Arial"/>
                <w:color w:val="000000"/>
                <w:sz w:val="16"/>
                <w:szCs w:val="16"/>
              </w:rPr>
            </w:pPr>
            <w:r w:rsidRPr="002234CD">
              <w:rPr>
                <w:rFonts w:ascii="Arial" w:hAnsi="Arial" w:cs="Arial"/>
                <w:b/>
                <w:bCs/>
                <w:sz w:val="16"/>
                <w:szCs w:val="16"/>
              </w:rPr>
              <w:t>2022</w:t>
            </w:r>
            <w:r w:rsidRPr="002234CD">
              <w:rPr>
                <w:rFonts w:ascii="Arial" w:hAnsi="Arial" w:cs="Arial"/>
                <w:b/>
                <w:bCs/>
                <w:sz w:val="16"/>
                <w:szCs w:val="16"/>
              </w:rPr>
              <w:br/>
              <w:t>$</w:t>
            </w:r>
          </w:p>
        </w:tc>
      </w:tr>
      <w:tr w:rsidR="00832DC9" w:rsidRPr="00F56223" w14:paraId="75FC2DDB" w14:textId="77777777" w:rsidTr="0032126E">
        <w:trPr>
          <w:trHeight w:hRule="exact" w:val="425"/>
        </w:trPr>
        <w:tc>
          <w:tcPr>
            <w:tcW w:w="5517" w:type="dxa"/>
            <w:tcBorders>
              <w:top w:val="nil"/>
              <w:left w:val="nil"/>
              <w:right w:val="nil"/>
            </w:tcBorders>
            <w:shd w:val="clear" w:color="auto" w:fill="auto"/>
            <w:vAlign w:val="center"/>
          </w:tcPr>
          <w:p w14:paraId="56FD594D" w14:textId="14F56F0C" w:rsidR="00832DC9" w:rsidRPr="00F56223" w:rsidRDefault="00832DC9" w:rsidP="00832DC9">
            <w:pPr>
              <w:rPr>
                <w:rFonts w:ascii="Arial" w:hAnsi="Arial" w:cs="Arial"/>
                <w:b/>
                <w:bCs/>
                <w:color w:val="000000"/>
                <w:sz w:val="16"/>
                <w:szCs w:val="16"/>
              </w:rPr>
            </w:pPr>
            <w:r w:rsidRPr="00F56223">
              <w:rPr>
                <w:rFonts w:ascii="Arial" w:hAnsi="Arial" w:cs="Arial"/>
                <w:b/>
                <w:bCs/>
                <w:sz w:val="16"/>
                <w:szCs w:val="16"/>
              </w:rPr>
              <w:t>EXPENSES</w:t>
            </w:r>
          </w:p>
        </w:tc>
        <w:tc>
          <w:tcPr>
            <w:tcW w:w="1843" w:type="dxa"/>
            <w:tcBorders>
              <w:top w:val="nil"/>
              <w:left w:val="nil"/>
              <w:right w:val="nil"/>
            </w:tcBorders>
            <w:shd w:val="clear" w:color="auto" w:fill="auto"/>
          </w:tcPr>
          <w:p w14:paraId="74034053" w14:textId="77777777" w:rsidR="00832DC9" w:rsidRPr="00C52166" w:rsidRDefault="00832DC9" w:rsidP="00832DC9">
            <w:pPr>
              <w:jc w:val="right"/>
              <w:rPr>
                <w:rFonts w:ascii="Arial" w:hAnsi="Arial" w:cs="Arial"/>
                <w:sz w:val="16"/>
                <w:szCs w:val="16"/>
              </w:rPr>
            </w:pPr>
          </w:p>
        </w:tc>
        <w:tc>
          <w:tcPr>
            <w:tcW w:w="1985" w:type="dxa"/>
            <w:tcBorders>
              <w:top w:val="nil"/>
              <w:left w:val="nil"/>
              <w:right w:val="nil"/>
            </w:tcBorders>
            <w:shd w:val="clear" w:color="auto" w:fill="auto"/>
          </w:tcPr>
          <w:p w14:paraId="3BC7AB1C" w14:textId="77777777" w:rsidR="00832DC9" w:rsidRPr="002234CD" w:rsidRDefault="00832DC9" w:rsidP="00832DC9">
            <w:pPr>
              <w:jc w:val="right"/>
              <w:rPr>
                <w:rFonts w:ascii="Arial" w:hAnsi="Arial" w:cs="Arial"/>
                <w:b/>
                <w:bCs/>
                <w:sz w:val="16"/>
                <w:szCs w:val="16"/>
              </w:rPr>
            </w:pPr>
          </w:p>
        </w:tc>
      </w:tr>
      <w:tr w:rsidR="00832DC9" w:rsidRPr="004B5349" w14:paraId="2E5C5785" w14:textId="77777777" w:rsidTr="0032126E">
        <w:trPr>
          <w:trHeight w:val="215"/>
        </w:trPr>
        <w:tc>
          <w:tcPr>
            <w:tcW w:w="5517" w:type="dxa"/>
            <w:shd w:val="clear" w:color="auto" w:fill="auto"/>
            <w:hideMark/>
          </w:tcPr>
          <w:p w14:paraId="1F0DB22E" w14:textId="42A41825" w:rsidR="00832DC9" w:rsidRPr="00F56223" w:rsidRDefault="00832DC9" w:rsidP="00832DC9">
            <w:pPr>
              <w:rPr>
                <w:rFonts w:ascii="Arial" w:hAnsi="Arial" w:cs="Arial"/>
                <w:sz w:val="16"/>
                <w:szCs w:val="16"/>
              </w:rPr>
            </w:pPr>
            <w:r w:rsidRPr="00F56223">
              <w:rPr>
                <w:rFonts w:ascii="Arial" w:hAnsi="Arial" w:cs="Arial"/>
                <w:sz w:val="16"/>
                <w:szCs w:val="16"/>
              </w:rPr>
              <w:t>Depreciation</w:t>
            </w:r>
            <w:r w:rsidRPr="00795F41">
              <w:rPr>
                <w:rFonts w:ascii="Arial" w:hAnsi="Arial" w:cs="Arial"/>
                <w:i/>
                <w:iCs/>
                <w:sz w:val="16"/>
                <w:szCs w:val="16"/>
              </w:rPr>
              <w:t xml:space="preserve"> [note </w:t>
            </w:r>
            <w:r>
              <w:rPr>
                <w:rFonts w:ascii="Arial" w:hAnsi="Arial" w:cs="Arial"/>
                <w:i/>
                <w:iCs/>
                <w:sz w:val="16"/>
                <w:szCs w:val="16"/>
              </w:rPr>
              <w:t>6</w:t>
            </w:r>
            <w:r w:rsidRPr="00795F41">
              <w:rPr>
                <w:rFonts w:ascii="Arial" w:hAnsi="Arial" w:cs="Arial"/>
                <w:i/>
                <w:iCs/>
                <w:sz w:val="16"/>
                <w:szCs w:val="16"/>
              </w:rPr>
              <w:t>]</w:t>
            </w:r>
          </w:p>
        </w:tc>
        <w:tc>
          <w:tcPr>
            <w:tcW w:w="1843" w:type="dxa"/>
            <w:shd w:val="clear" w:color="auto" w:fill="auto"/>
          </w:tcPr>
          <w:p w14:paraId="156BA0E8" w14:textId="6EE69B8D" w:rsidR="00832DC9" w:rsidRPr="00C52166" w:rsidRDefault="00832DC9" w:rsidP="00832DC9">
            <w:pPr>
              <w:ind w:right="312"/>
              <w:jc w:val="right"/>
              <w:rPr>
                <w:rFonts w:ascii="Arial" w:hAnsi="Arial" w:cs="Arial"/>
                <w:b/>
                <w:bCs/>
                <w:color w:val="000000"/>
                <w:sz w:val="16"/>
                <w:szCs w:val="16"/>
              </w:rPr>
            </w:pPr>
            <w:r w:rsidRPr="00C52166">
              <w:rPr>
                <w:rFonts w:ascii="Arial" w:hAnsi="Arial" w:cs="Arial"/>
                <w:b/>
                <w:bCs/>
                <w:sz w:val="16"/>
                <w:szCs w:val="16"/>
              </w:rPr>
              <w:t xml:space="preserve"> </w:t>
            </w:r>
            <w:r w:rsidR="000E5C4C" w:rsidRPr="00C52166">
              <w:rPr>
                <w:rFonts w:ascii="Arial" w:hAnsi="Arial" w:cs="Arial"/>
                <w:b/>
                <w:bCs/>
                <w:sz w:val="16"/>
                <w:szCs w:val="16"/>
              </w:rPr>
              <w:t>144</w:t>
            </w:r>
            <w:r w:rsidRPr="00C52166">
              <w:rPr>
                <w:rFonts w:ascii="Arial" w:hAnsi="Arial" w:cs="Arial"/>
                <w:b/>
                <w:bCs/>
                <w:sz w:val="16"/>
                <w:szCs w:val="16"/>
              </w:rPr>
              <w:t xml:space="preserve"> </w:t>
            </w:r>
          </w:p>
        </w:tc>
        <w:tc>
          <w:tcPr>
            <w:tcW w:w="1985" w:type="dxa"/>
            <w:shd w:val="clear" w:color="auto" w:fill="auto"/>
            <w:noWrap/>
          </w:tcPr>
          <w:p w14:paraId="5D089C2D" w14:textId="58553C8A" w:rsidR="00832DC9" w:rsidRPr="00832DC9" w:rsidRDefault="00832DC9" w:rsidP="00832DC9">
            <w:pPr>
              <w:ind w:right="312" w:firstLineChars="500" w:firstLine="800"/>
              <w:jc w:val="right"/>
              <w:rPr>
                <w:rFonts w:ascii="Arial" w:hAnsi="Arial" w:cs="Arial"/>
                <w:color w:val="000000"/>
                <w:sz w:val="16"/>
                <w:szCs w:val="16"/>
              </w:rPr>
            </w:pPr>
            <w:r w:rsidRPr="00832DC9">
              <w:rPr>
                <w:rFonts w:ascii="Arial" w:hAnsi="Arial" w:cs="Arial"/>
                <w:bCs/>
                <w:sz w:val="16"/>
                <w:szCs w:val="16"/>
              </w:rPr>
              <w:t xml:space="preserve"> 195 </w:t>
            </w:r>
          </w:p>
        </w:tc>
      </w:tr>
      <w:tr w:rsidR="00832DC9" w:rsidRPr="004B5349" w14:paraId="621658C8" w14:textId="77777777" w:rsidTr="0032126E">
        <w:trPr>
          <w:trHeight w:val="215"/>
        </w:trPr>
        <w:tc>
          <w:tcPr>
            <w:tcW w:w="5517" w:type="dxa"/>
            <w:shd w:val="clear" w:color="auto" w:fill="auto"/>
            <w:hideMark/>
          </w:tcPr>
          <w:p w14:paraId="279655BF" w14:textId="031C7664" w:rsidR="00832DC9" w:rsidRPr="00F56223" w:rsidRDefault="00832DC9" w:rsidP="00832DC9">
            <w:pPr>
              <w:rPr>
                <w:rFonts w:ascii="Arial" w:hAnsi="Arial" w:cs="Arial"/>
                <w:sz w:val="16"/>
                <w:szCs w:val="16"/>
              </w:rPr>
            </w:pPr>
            <w:r w:rsidRPr="00F56223">
              <w:rPr>
                <w:rFonts w:ascii="Arial" w:hAnsi="Arial" w:cs="Arial"/>
                <w:sz w:val="16"/>
                <w:szCs w:val="16"/>
              </w:rPr>
              <w:t>Exchange loss/</w:t>
            </w:r>
            <w:r>
              <w:rPr>
                <w:rFonts w:ascii="Arial" w:hAnsi="Arial" w:cs="Arial"/>
                <w:sz w:val="16"/>
                <w:szCs w:val="16"/>
              </w:rPr>
              <w:t>(</w:t>
            </w:r>
            <w:r w:rsidRPr="00F56223">
              <w:rPr>
                <w:rFonts w:ascii="Arial" w:hAnsi="Arial" w:cs="Arial"/>
                <w:sz w:val="16"/>
                <w:szCs w:val="16"/>
              </w:rPr>
              <w:t>gain</w:t>
            </w:r>
            <w:r>
              <w:rPr>
                <w:rFonts w:ascii="Arial" w:hAnsi="Arial" w:cs="Arial"/>
                <w:sz w:val="16"/>
                <w:szCs w:val="16"/>
              </w:rPr>
              <w:t>)</w:t>
            </w:r>
          </w:p>
        </w:tc>
        <w:tc>
          <w:tcPr>
            <w:tcW w:w="1843" w:type="dxa"/>
            <w:shd w:val="clear" w:color="auto" w:fill="auto"/>
          </w:tcPr>
          <w:p w14:paraId="65305716" w14:textId="0528F343" w:rsidR="00832DC9" w:rsidRPr="00C52166" w:rsidRDefault="000E5C4C" w:rsidP="00832DC9">
            <w:pPr>
              <w:ind w:right="312"/>
              <w:jc w:val="right"/>
              <w:rPr>
                <w:rFonts w:ascii="Arial" w:hAnsi="Arial" w:cs="Arial"/>
                <w:b/>
                <w:bCs/>
                <w:color w:val="000000"/>
                <w:sz w:val="16"/>
                <w:szCs w:val="16"/>
              </w:rPr>
            </w:pPr>
            <w:r w:rsidRPr="00C52166">
              <w:rPr>
                <w:rFonts w:ascii="Arial" w:hAnsi="Arial" w:cs="Arial"/>
                <w:b/>
                <w:bCs/>
                <w:sz w:val="16"/>
                <w:szCs w:val="16"/>
              </w:rPr>
              <w:t>70</w:t>
            </w:r>
            <w:r w:rsidR="00832DC9" w:rsidRPr="00C52166">
              <w:rPr>
                <w:rFonts w:ascii="Arial" w:hAnsi="Arial" w:cs="Arial"/>
                <w:b/>
                <w:bCs/>
                <w:sz w:val="16"/>
                <w:szCs w:val="16"/>
              </w:rPr>
              <w:t>,</w:t>
            </w:r>
            <w:r w:rsidR="00035E48">
              <w:rPr>
                <w:rFonts w:ascii="Arial" w:hAnsi="Arial" w:cs="Arial"/>
                <w:b/>
                <w:bCs/>
                <w:sz w:val="16"/>
                <w:szCs w:val="16"/>
              </w:rPr>
              <w:t>52</w:t>
            </w:r>
            <w:r w:rsidR="00604784">
              <w:rPr>
                <w:rFonts w:ascii="Arial" w:hAnsi="Arial" w:cs="Arial"/>
                <w:b/>
                <w:bCs/>
                <w:sz w:val="16"/>
                <w:szCs w:val="16"/>
              </w:rPr>
              <w:t>5</w:t>
            </w:r>
            <w:r w:rsidR="00832DC9" w:rsidRPr="00C52166">
              <w:rPr>
                <w:rFonts w:ascii="Arial" w:hAnsi="Arial" w:cs="Arial"/>
                <w:b/>
                <w:bCs/>
                <w:sz w:val="16"/>
                <w:szCs w:val="16"/>
              </w:rPr>
              <w:t xml:space="preserve"> </w:t>
            </w:r>
          </w:p>
        </w:tc>
        <w:tc>
          <w:tcPr>
            <w:tcW w:w="1985" w:type="dxa"/>
            <w:shd w:val="clear" w:color="auto" w:fill="auto"/>
            <w:noWrap/>
          </w:tcPr>
          <w:p w14:paraId="0A89C34F" w14:textId="2259313C" w:rsidR="00832DC9" w:rsidRPr="00832DC9" w:rsidRDefault="00832DC9" w:rsidP="0018650B">
            <w:pPr>
              <w:ind w:right="312" w:firstLineChars="465" w:firstLine="744"/>
              <w:jc w:val="center"/>
              <w:rPr>
                <w:rFonts w:ascii="Arial" w:hAnsi="Arial" w:cs="Arial"/>
                <w:color w:val="000000"/>
                <w:sz w:val="16"/>
                <w:szCs w:val="16"/>
              </w:rPr>
            </w:pPr>
            <w:r w:rsidRPr="00832DC9">
              <w:rPr>
                <w:rFonts w:ascii="Arial" w:hAnsi="Arial" w:cs="Arial"/>
                <w:bCs/>
                <w:sz w:val="16"/>
                <w:szCs w:val="16"/>
              </w:rPr>
              <w:t>(201,27</w:t>
            </w:r>
            <w:r w:rsidR="00CD783C">
              <w:rPr>
                <w:rFonts w:ascii="Arial" w:hAnsi="Arial" w:cs="Arial"/>
                <w:bCs/>
                <w:sz w:val="16"/>
                <w:szCs w:val="16"/>
              </w:rPr>
              <w:t>2</w:t>
            </w:r>
            <w:r w:rsidRPr="00832DC9">
              <w:rPr>
                <w:rFonts w:ascii="Arial" w:hAnsi="Arial" w:cs="Arial"/>
                <w:bCs/>
                <w:sz w:val="16"/>
                <w:szCs w:val="16"/>
              </w:rPr>
              <w:t xml:space="preserve">) </w:t>
            </w:r>
          </w:p>
        </w:tc>
      </w:tr>
      <w:tr w:rsidR="00832DC9" w:rsidRPr="004B5349" w14:paraId="71B67CA3" w14:textId="77777777" w:rsidTr="0032126E">
        <w:trPr>
          <w:trHeight w:val="215"/>
        </w:trPr>
        <w:tc>
          <w:tcPr>
            <w:tcW w:w="5517" w:type="dxa"/>
            <w:shd w:val="clear" w:color="auto" w:fill="auto"/>
            <w:hideMark/>
          </w:tcPr>
          <w:p w14:paraId="0E58DB82" w14:textId="09C3C251" w:rsidR="00832DC9" w:rsidRPr="00F56223" w:rsidRDefault="00832DC9" w:rsidP="00832DC9">
            <w:pPr>
              <w:rPr>
                <w:rFonts w:ascii="Arial" w:hAnsi="Arial" w:cs="Arial"/>
                <w:color w:val="000000"/>
                <w:sz w:val="16"/>
                <w:szCs w:val="16"/>
              </w:rPr>
            </w:pPr>
            <w:r w:rsidRPr="00F56223">
              <w:rPr>
                <w:rFonts w:ascii="Arial" w:hAnsi="Arial" w:cs="Arial"/>
                <w:sz w:val="16"/>
                <w:szCs w:val="16"/>
              </w:rPr>
              <w:t xml:space="preserve">Exploration and evaluation expenses </w:t>
            </w:r>
            <w:r w:rsidRPr="00795F41">
              <w:rPr>
                <w:rFonts w:ascii="Arial" w:hAnsi="Arial" w:cs="Arial"/>
                <w:i/>
                <w:iCs/>
                <w:sz w:val="16"/>
                <w:szCs w:val="16"/>
              </w:rPr>
              <w:t xml:space="preserve">[note </w:t>
            </w:r>
            <w:r>
              <w:rPr>
                <w:rFonts w:ascii="Arial" w:hAnsi="Arial" w:cs="Arial"/>
                <w:i/>
                <w:iCs/>
                <w:sz w:val="16"/>
                <w:szCs w:val="16"/>
              </w:rPr>
              <w:t>7</w:t>
            </w:r>
            <w:r w:rsidRPr="00795F41">
              <w:rPr>
                <w:rFonts w:ascii="Arial" w:hAnsi="Arial" w:cs="Arial"/>
                <w:i/>
                <w:iCs/>
                <w:sz w:val="16"/>
                <w:szCs w:val="16"/>
              </w:rPr>
              <w:t>]</w:t>
            </w:r>
          </w:p>
        </w:tc>
        <w:tc>
          <w:tcPr>
            <w:tcW w:w="1843" w:type="dxa"/>
            <w:shd w:val="clear" w:color="auto" w:fill="auto"/>
          </w:tcPr>
          <w:p w14:paraId="4374861C" w14:textId="6A64FA00" w:rsidR="00832DC9" w:rsidRPr="00C52166" w:rsidRDefault="00832DC9" w:rsidP="00832DC9">
            <w:pPr>
              <w:ind w:right="312"/>
              <w:jc w:val="right"/>
              <w:rPr>
                <w:rFonts w:ascii="Arial" w:hAnsi="Arial" w:cs="Arial"/>
                <w:b/>
                <w:bCs/>
                <w:color w:val="000000"/>
                <w:sz w:val="16"/>
                <w:szCs w:val="16"/>
              </w:rPr>
            </w:pPr>
            <w:r w:rsidRPr="00C52166">
              <w:rPr>
                <w:rFonts w:ascii="Arial" w:hAnsi="Arial" w:cs="Arial"/>
                <w:b/>
                <w:bCs/>
                <w:sz w:val="16"/>
                <w:szCs w:val="16"/>
              </w:rPr>
              <w:t xml:space="preserve">  </w:t>
            </w:r>
            <w:r w:rsidR="000E5C4C" w:rsidRPr="00C52166">
              <w:rPr>
                <w:rFonts w:ascii="Arial" w:hAnsi="Arial" w:cs="Arial"/>
                <w:b/>
                <w:bCs/>
                <w:sz w:val="16"/>
                <w:szCs w:val="16"/>
              </w:rPr>
              <w:t>1</w:t>
            </w:r>
            <w:r w:rsidRPr="00C52166">
              <w:rPr>
                <w:rFonts w:ascii="Arial" w:hAnsi="Arial" w:cs="Arial"/>
                <w:b/>
                <w:bCs/>
                <w:sz w:val="16"/>
                <w:szCs w:val="16"/>
              </w:rPr>
              <w:t>,</w:t>
            </w:r>
            <w:r w:rsidR="000E5C4C" w:rsidRPr="00C52166">
              <w:rPr>
                <w:rFonts w:ascii="Arial" w:hAnsi="Arial" w:cs="Arial"/>
                <w:b/>
                <w:bCs/>
                <w:sz w:val="16"/>
                <w:szCs w:val="16"/>
              </w:rPr>
              <w:t>2</w:t>
            </w:r>
            <w:r w:rsidR="004D3407">
              <w:rPr>
                <w:rFonts w:ascii="Arial" w:hAnsi="Arial" w:cs="Arial"/>
                <w:b/>
                <w:bCs/>
                <w:sz w:val="16"/>
                <w:szCs w:val="16"/>
              </w:rPr>
              <w:t>6</w:t>
            </w:r>
            <w:r w:rsidR="001A1BBD">
              <w:rPr>
                <w:rFonts w:ascii="Arial" w:hAnsi="Arial" w:cs="Arial"/>
                <w:b/>
                <w:bCs/>
                <w:sz w:val="16"/>
                <w:szCs w:val="16"/>
              </w:rPr>
              <w:t>6,008</w:t>
            </w:r>
          </w:p>
        </w:tc>
        <w:tc>
          <w:tcPr>
            <w:tcW w:w="1985" w:type="dxa"/>
            <w:shd w:val="clear" w:color="auto" w:fill="auto"/>
            <w:noWrap/>
          </w:tcPr>
          <w:p w14:paraId="6849C925" w14:textId="55C02EFD" w:rsidR="00832DC9" w:rsidRPr="00832DC9" w:rsidRDefault="00832DC9" w:rsidP="00832DC9">
            <w:pPr>
              <w:ind w:right="312"/>
              <w:jc w:val="right"/>
              <w:rPr>
                <w:rFonts w:ascii="Arial" w:hAnsi="Arial" w:cs="Arial"/>
                <w:color w:val="000000"/>
                <w:sz w:val="16"/>
                <w:szCs w:val="16"/>
              </w:rPr>
            </w:pPr>
            <w:r w:rsidRPr="00832DC9">
              <w:rPr>
                <w:rFonts w:ascii="Arial" w:hAnsi="Arial" w:cs="Arial"/>
                <w:bCs/>
                <w:sz w:val="16"/>
                <w:szCs w:val="16"/>
              </w:rPr>
              <w:t xml:space="preserve">  2,9</w:t>
            </w:r>
            <w:r w:rsidR="00CD783C">
              <w:rPr>
                <w:rFonts w:ascii="Arial" w:hAnsi="Arial" w:cs="Arial"/>
                <w:bCs/>
                <w:sz w:val="16"/>
                <w:szCs w:val="16"/>
              </w:rPr>
              <w:t>5</w:t>
            </w:r>
            <w:r w:rsidRPr="00832DC9">
              <w:rPr>
                <w:rFonts w:ascii="Arial" w:hAnsi="Arial" w:cs="Arial"/>
                <w:bCs/>
                <w:sz w:val="16"/>
                <w:szCs w:val="16"/>
              </w:rPr>
              <w:t>3,698</w:t>
            </w:r>
          </w:p>
        </w:tc>
      </w:tr>
      <w:tr w:rsidR="00832DC9" w:rsidRPr="004B5349" w14:paraId="051B24AC" w14:textId="77777777" w:rsidTr="0032126E">
        <w:trPr>
          <w:trHeight w:val="215"/>
        </w:trPr>
        <w:tc>
          <w:tcPr>
            <w:tcW w:w="5517" w:type="dxa"/>
            <w:shd w:val="clear" w:color="auto" w:fill="auto"/>
            <w:hideMark/>
          </w:tcPr>
          <w:p w14:paraId="00D85E26" w14:textId="77777777" w:rsidR="00832DC9" w:rsidRPr="00F56223" w:rsidRDefault="00832DC9" w:rsidP="00832DC9">
            <w:pPr>
              <w:rPr>
                <w:rFonts w:ascii="Arial" w:hAnsi="Arial" w:cs="Arial"/>
                <w:sz w:val="16"/>
                <w:szCs w:val="16"/>
              </w:rPr>
            </w:pPr>
            <w:r w:rsidRPr="00F56223">
              <w:rPr>
                <w:rFonts w:ascii="Arial" w:hAnsi="Arial" w:cs="Arial"/>
                <w:sz w:val="16"/>
                <w:szCs w:val="16"/>
              </w:rPr>
              <w:t>Flow through interest penalty</w:t>
            </w:r>
          </w:p>
        </w:tc>
        <w:tc>
          <w:tcPr>
            <w:tcW w:w="1843" w:type="dxa"/>
            <w:shd w:val="clear" w:color="auto" w:fill="auto"/>
          </w:tcPr>
          <w:p w14:paraId="4E389E46" w14:textId="42311672" w:rsidR="00832DC9" w:rsidRPr="00C52166" w:rsidRDefault="000E5C4C" w:rsidP="00832DC9">
            <w:pPr>
              <w:ind w:right="312"/>
              <w:jc w:val="right"/>
              <w:rPr>
                <w:rFonts w:ascii="Arial" w:hAnsi="Arial" w:cs="Arial"/>
                <w:b/>
                <w:bCs/>
                <w:sz w:val="16"/>
                <w:szCs w:val="16"/>
              </w:rPr>
            </w:pPr>
            <w:r w:rsidRPr="00C52166">
              <w:rPr>
                <w:rFonts w:ascii="Arial" w:hAnsi="Arial" w:cs="Arial"/>
                <w:b/>
                <w:bCs/>
                <w:sz w:val="16"/>
                <w:szCs w:val="16"/>
              </w:rPr>
              <w:t>-</w:t>
            </w:r>
          </w:p>
        </w:tc>
        <w:tc>
          <w:tcPr>
            <w:tcW w:w="1985" w:type="dxa"/>
            <w:shd w:val="clear" w:color="auto" w:fill="auto"/>
            <w:noWrap/>
          </w:tcPr>
          <w:p w14:paraId="6D1CCE16" w14:textId="7BBF7D89" w:rsidR="00832DC9" w:rsidRPr="00832DC9" w:rsidRDefault="00832DC9" w:rsidP="00832DC9">
            <w:pPr>
              <w:ind w:right="312" w:firstLineChars="500" w:firstLine="800"/>
              <w:jc w:val="right"/>
              <w:rPr>
                <w:rFonts w:ascii="Arial" w:hAnsi="Arial" w:cs="Arial"/>
                <w:color w:val="000000"/>
                <w:sz w:val="16"/>
                <w:szCs w:val="16"/>
              </w:rPr>
            </w:pPr>
            <w:r w:rsidRPr="00832DC9">
              <w:rPr>
                <w:rFonts w:ascii="Arial" w:hAnsi="Arial" w:cs="Arial"/>
                <w:bCs/>
                <w:sz w:val="16"/>
                <w:szCs w:val="16"/>
              </w:rPr>
              <w:t>1,853</w:t>
            </w:r>
          </w:p>
        </w:tc>
      </w:tr>
      <w:tr w:rsidR="00832DC9" w:rsidRPr="004B5349" w14:paraId="378164A2" w14:textId="77777777" w:rsidTr="0032126E">
        <w:trPr>
          <w:trHeight w:val="215"/>
        </w:trPr>
        <w:tc>
          <w:tcPr>
            <w:tcW w:w="5517" w:type="dxa"/>
            <w:shd w:val="clear" w:color="auto" w:fill="auto"/>
            <w:hideMark/>
          </w:tcPr>
          <w:p w14:paraId="7D5A8591" w14:textId="78AC7A6B" w:rsidR="00832DC9" w:rsidRPr="00F56223" w:rsidRDefault="00832DC9" w:rsidP="00832DC9">
            <w:pPr>
              <w:rPr>
                <w:rFonts w:ascii="Arial" w:hAnsi="Arial" w:cs="Arial"/>
                <w:color w:val="000000"/>
                <w:sz w:val="16"/>
                <w:szCs w:val="16"/>
              </w:rPr>
            </w:pPr>
            <w:r w:rsidRPr="00F56223">
              <w:rPr>
                <w:rFonts w:ascii="Arial" w:hAnsi="Arial" w:cs="Arial"/>
                <w:sz w:val="16"/>
                <w:szCs w:val="16"/>
              </w:rPr>
              <w:t>General and administrative expenses</w:t>
            </w:r>
          </w:p>
        </w:tc>
        <w:tc>
          <w:tcPr>
            <w:tcW w:w="1843" w:type="dxa"/>
            <w:shd w:val="clear" w:color="auto" w:fill="auto"/>
          </w:tcPr>
          <w:p w14:paraId="203EDA70" w14:textId="7E7FCC2D" w:rsidR="00832DC9" w:rsidRPr="00C52166" w:rsidRDefault="00832DC9" w:rsidP="00832DC9">
            <w:pPr>
              <w:ind w:right="312"/>
              <w:jc w:val="right"/>
              <w:rPr>
                <w:rFonts w:ascii="Arial" w:hAnsi="Arial" w:cs="Arial"/>
                <w:b/>
                <w:bCs/>
                <w:color w:val="000000"/>
                <w:sz w:val="16"/>
                <w:szCs w:val="16"/>
              </w:rPr>
            </w:pPr>
            <w:r w:rsidRPr="00C52166">
              <w:rPr>
                <w:rFonts w:ascii="Arial" w:hAnsi="Arial" w:cs="Arial"/>
                <w:b/>
                <w:bCs/>
                <w:sz w:val="16"/>
                <w:szCs w:val="16"/>
              </w:rPr>
              <w:t xml:space="preserve">  1,00</w:t>
            </w:r>
            <w:r w:rsidR="000E5C4C" w:rsidRPr="00C52166">
              <w:rPr>
                <w:rFonts w:ascii="Arial" w:hAnsi="Arial" w:cs="Arial"/>
                <w:b/>
                <w:bCs/>
                <w:sz w:val="16"/>
                <w:szCs w:val="16"/>
              </w:rPr>
              <w:t>3</w:t>
            </w:r>
            <w:r w:rsidRPr="00C52166">
              <w:rPr>
                <w:rFonts w:ascii="Arial" w:hAnsi="Arial" w:cs="Arial"/>
                <w:b/>
                <w:bCs/>
                <w:sz w:val="16"/>
                <w:szCs w:val="16"/>
              </w:rPr>
              <w:t>,</w:t>
            </w:r>
            <w:r w:rsidR="000E5C4C" w:rsidRPr="00C52166">
              <w:rPr>
                <w:rFonts w:ascii="Arial" w:hAnsi="Arial" w:cs="Arial"/>
                <w:b/>
                <w:bCs/>
                <w:sz w:val="16"/>
                <w:szCs w:val="16"/>
              </w:rPr>
              <w:t>04</w:t>
            </w:r>
            <w:r w:rsidR="00F91DE0">
              <w:rPr>
                <w:rFonts w:ascii="Arial" w:hAnsi="Arial" w:cs="Arial"/>
                <w:b/>
                <w:bCs/>
                <w:sz w:val="16"/>
                <w:szCs w:val="16"/>
              </w:rPr>
              <w:t>3</w:t>
            </w:r>
          </w:p>
        </w:tc>
        <w:tc>
          <w:tcPr>
            <w:tcW w:w="1985" w:type="dxa"/>
            <w:shd w:val="clear" w:color="auto" w:fill="auto"/>
            <w:noWrap/>
          </w:tcPr>
          <w:p w14:paraId="264EC8FD" w14:textId="3CB8CA72" w:rsidR="00832DC9" w:rsidRPr="00832DC9" w:rsidRDefault="00832DC9" w:rsidP="00832DC9">
            <w:pPr>
              <w:ind w:right="312"/>
              <w:jc w:val="right"/>
              <w:rPr>
                <w:rFonts w:ascii="Arial" w:hAnsi="Arial" w:cs="Arial"/>
                <w:color w:val="000000"/>
                <w:sz w:val="16"/>
                <w:szCs w:val="16"/>
              </w:rPr>
            </w:pPr>
            <w:r w:rsidRPr="00832DC9">
              <w:rPr>
                <w:rFonts w:ascii="Arial" w:hAnsi="Arial" w:cs="Arial"/>
                <w:bCs/>
                <w:sz w:val="16"/>
                <w:szCs w:val="16"/>
              </w:rPr>
              <w:t xml:space="preserve">  1,007,158</w:t>
            </w:r>
          </w:p>
        </w:tc>
      </w:tr>
      <w:tr w:rsidR="00832DC9" w:rsidRPr="004B5349" w14:paraId="13A7DFBB" w14:textId="77777777" w:rsidTr="0032126E">
        <w:trPr>
          <w:trHeight w:val="215"/>
        </w:trPr>
        <w:tc>
          <w:tcPr>
            <w:tcW w:w="5517" w:type="dxa"/>
            <w:shd w:val="clear" w:color="auto" w:fill="auto"/>
            <w:hideMark/>
          </w:tcPr>
          <w:p w14:paraId="79FE62B4" w14:textId="77777777" w:rsidR="00832DC9" w:rsidRPr="00F56223" w:rsidRDefault="00832DC9" w:rsidP="00832DC9">
            <w:pPr>
              <w:rPr>
                <w:rFonts w:ascii="Arial" w:hAnsi="Arial" w:cs="Arial"/>
                <w:sz w:val="16"/>
                <w:szCs w:val="16"/>
              </w:rPr>
            </w:pPr>
            <w:r w:rsidRPr="00F56223">
              <w:rPr>
                <w:rFonts w:ascii="Arial" w:hAnsi="Arial" w:cs="Arial"/>
                <w:sz w:val="16"/>
                <w:szCs w:val="16"/>
              </w:rPr>
              <w:t>Professional fees</w:t>
            </w:r>
          </w:p>
        </w:tc>
        <w:tc>
          <w:tcPr>
            <w:tcW w:w="1843" w:type="dxa"/>
            <w:shd w:val="clear" w:color="auto" w:fill="auto"/>
          </w:tcPr>
          <w:p w14:paraId="65AD5A22" w14:textId="3553FC28" w:rsidR="00832DC9" w:rsidRPr="00C52166" w:rsidRDefault="00832DC9" w:rsidP="00832DC9">
            <w:pPr>
              <w:ind w:right="312"/>
              <w:jc w:val="right"/>
              <w:rPr>
                <w:rFonts w:ascii="Arial" w:hAnsi="Arial" w:cs="Arial"/>
                <w:b/>
                <w:bCs/>
                <w:color w:val="000000"/>
                <w:sz w:val="16"/>
                <w:szCs w:val="16"/>
              </w:rPr>
            </w:pPr>
            <w:r w:rsidRPr="00C52166">
              <w:rPr>
                <w:rFonts w:ascii="Arial" w:hAnsi="Arial" w:cs="Arial"/>
                <w:b/>
                <w:bCs/>
                <w:sz w:val="16"/>
                <w:szCs w:val="16"/>
              </w:rPr>
              <w:t xml:space="preserve">  </w:t>
            </w:r>
            <w:r w:rsidR="000E5C4C" w:rsidRPr="00C52166">
              <w:rPr>
                <w:rFonts w:ascii="Arial" w:hAnsi="Arial" w:cs="Arial"/>
                <w:b/>
                <w:bCs/>
                <w:sz w:val="16"/>
                <w:szCs w:val="16"/>
              </w:rPr>
              <w:t>177</w:t>
            </w:r>
            <w:r w:rsidRPr="00C52166">
              <w:rPr>
                <w:rFonts w:ascii="Arial" w:hAnsi="Arial" w:cs="Arial"/>
                <w:b/>
                <w:bCs/>
                <w:sz w:val="16"/>
                <w:szCs w:val="16"/>
              </w:rPr>
              <w:t>,</w:t>
            </w:r>
            <w:r w:rsidR="000E5C4C" w:rsidRPr="00C52166">
              <w:rPr>
                <w:rFonts w:ascii="Arial" w:hAnsi="Arial" w:cs="Arial"/>
                <w:b/>
                <w:bCs/>
                <w:sz w:val="16"/>
                <w:szCs w:val="16"/>
              </w:rPr>
              <w:t>073</w:t>
            </w:r>
          </w:p>
        </w:tc>
        <w:tc>
          <w:tcPr>
            <w:tcW w:w="1985" w:type="dxa"/>
            <w:shd w:val="clear" w:color="auto" w:fill="auto"/>
            <w:noWrap/>
          </w:tcPr>
          <w:p w14:paraId="4667B56D" w14:textId="35168E64" w:rsidR="00832DC9" w:rsidRPr="00832DC9" w:rsidRDefault="00832DC9" w:rsidP="00832DC9">
            <w:pPr>
              <w:ind w:right="312"/>
              <w:jc w:val="right"/>
              <w:rPr>
                <w:rFonts w:ascii="Arial" w:hAnsi="Arial" w:cs="Arial"/>
                <w:color w:val="000000"/>
                <w:sz w:val="16"/>
                <w:szCs w:val="16"/>
              </w:rPr>
            </w:pPr>
            <w:r w:rsidRPr="00832DC9">
              <w:rPr>
                <w:rFonts w:ascii="Arial" w:hAnsi="Arial" w:cs="Arial"/>
                <w:bCs/>
                <w:sz w:val="16"/>
                <w:szCs w:val="16"/>
              </w:rPr>
              <w:t xml:space="preserve">  74,390</w:t>
            </w:r>
          </w:p>
        </w:tc>
      </w:tr>
      <w:tr w:rsidR="00832DC9" w:rsidRPr="004B5349" w14:paraId="7DB120BC" w14:textId="77777777" w:rsidTr="0032126E">
        <w:trPr>
          <w:trHeight w:val="215"/>
        </w:trPr>
        <w:tc>
          <w:tcPr>
            <w:tcW w:w="5517" w:type="dxa"/>
            <w:tcBorders>
              <w:bottom w:val="single" w:sz="4" w:space="0" w:color="auto"/>
            </w:tcBorders>
            <w:shd w:val="clear" w:color="auto" w:fill="auto"/>
            <w:hideMark/>
          </w:tcPr>
          <w:p w14:paraId="2A3EC733" w14:textId="5C4ADDDC" w:rsidR="00832DC9" w:rsidRPr="00435E53" w:rsidRDefault="00832DC9" w:rsidP="00832DC9">
            <w:pPr>
              <w:rPr>
                <w:rFonts w:ascii="Arial" w:hAnsi="Arial" w:cs="Arial"/>
                <w:color w:val="000000"/>
                <w:sz w:val="16"/>
                <w:szCs w:val="16"/>
              </w:rPr>
            </w:pPr>
            <w:r w:rsidRPr="00435E53">
              <w:rPr>
                <w:rFonts w:ascii="Arial" w:hAnsi="Arial" w:cs="Arial"/>
                <w:sz w:val="16"/>
                <w:szCs w:val="16"/>
              </w:rPr>
              <w:t xml:space="preserve">Share-based payments </w:t>
            </w:r>
            <w:r w:rsidRPr="00795F41">
              <w:rPr>
                <w:rFonts w:ascii="Arial" w:hAnsi="Arial" w:cs="Arial"/>
                <w:i/>
                <w:iCs/>
                <w:sz w:val="16"/>
                <w:szCs w:val="16"/>
              </w:rPr>
              <w:t xml:space="preserve">[note </w:t>
            </w:r>
            <w:r>
              <w:rPr>
                <w:rFonts w:ascii="Arial" w:hAnsi="Arial" w:cs="Arial"/>
                <w:i/>
                <w:iCs/>
                <w:sz w:val="16"/>
                <w:szCs w:val="16"/>
              </w:rPr>
              <w:t>8</w:t>
            </w:r>
            <w:r w:rsidRPr="00795F41">
              <w:rPr>
                <w:rFonts w:ascii="Arial" w:hAnsi="Arial" w:cs="Arial"/>
                <w:i/>
                <w:iCs/>
                <w:sz w:val="16"/>
                <w:szCs w:val="16"/>
              </w:rPr>
              <w:t>]</w:t>
            </w:r>
          </w:p>
        </w:tc>
        <w:tc>
          <w:tcPr>
            <w:tcW w:w="1843" w:type="dxa"/>
            <w:tcBorders>
              <w:bottom w:val="single" w:sz="4" w:space="0" w:color="auto"/>
            </w:tcBorders>
            <w:shd w:val="clear" w:color="auto" w:fill="auto"/>
          </w:tcPr>
          <w:p w14:paraId="3E110EDA" w14:textId="32A51B9B" w:rsidR="00832DC9" w:rsidRPr="00C52166" w:rsidRDefault="000E5C4C" w:rsidP="00832DC9">
            <w:pPr>
              <w:ind w:right="312"/>
              <w:jc w:val="right"/>
              <w:rPr>
                <w:rFonts w:ascii="Arial" w:hAnsi="Arial" w:cs="Arial"/>
                <w:b/>
                <w:bCs/>
                <w:color w:val="000000"/>
                <w:sz w:val="16"/>
                <w:szCs w:val="16"/>
              </w:rPr>
            </w:pPr>
            <w:r w:rsidRPr="00C52166">
              <w:rPr>
                <w:rFonts w:ascii="Arial" w:hAnsi="Arial" w:cs="Arial"/>
                <w:b/>
                <w:bCs/>
                <w:sz w:val="16"/>
                <w:szCs w:val="16"/>
              </w:rPr>
              <w:t>338</w:t>
            </w:r>
            <w:r w:rsidR="00832DC9" w:rsidRPr="00C52166">
              <w:rPr>
                <w:rFonts w:ascii="Arial" w:hAnsi="Arial" w:cs="Arial"/>
                <w:b/>
                <w:bCs/>
                <w:sz w:val="16"/>
                <w:szCs w:val="16"/>
              </w:rPr>
              <w:t>,</w:t>
            </w:r>
            <w:r w:rsidR="00035E48">
              <w:rPr>
                <w:rFonts w:ascii="Arial" w:hAnsi="Arial" w:cs="Arial"/>
                <w:b/>
                <w:bCs/>
                <w:sz w:val="16"/>
                <w:szCs w:val="16"/>
              </w:rPr>
              <w:t>42</w:t>
            </w:r>
            <w:r w:rsidR="001A1BBD">
              <w:rPr>
                <w:rFonts w:ascii="Arial" w:hAnsi="Arial" w:cs="Arial"/>
                <w:b/>
                <w:bCs/>
                <w:sz w:val="16"/>
                <w:szCs w:val="16"/>
              </w:rPr>
              <w:t>8</w:t>
            </w:r>
          </w:p>
        </w:tc>
        <w:tc>
          <w:tcPr>
            <w:tcW w:w="1985" w:type="dxa"/>
            <w:tcBorders>
              <w:bottom w:val="single" w:sz="4" w:space="0" w:color="auto"/>
            </w:tcBorders>
            <w:shd w:val="clear" w:color="auto" w:fill="auto"/>
            <w:noWrap/>
          </w:tcPr>
          <w:p w14:paraId="2F73848F" w14:textId="5DA7BD7B" w:rsidR="00832DC9" w:rsidRPr="00832DC9" w:rsidRDefault="00832DC9" w:rsidP="00832DC9">
            <w:pPr>
              <w:ind w:right="312"/>
              <w:jc w:val="right"/>
              <w:rPr>
                <w:rFonts w:ascii="Arial" w:hAnsi="Arial" w:cs="Arial"/>
                <w:color w:val="000000"/>
                <w:sz w:val="16"/>
                <w:szCs w:val="16"/>
              </w:rPr>
            </w:pPr>
            <w:r w:rsidRPr="00832DC9">
              <w:rPr>
                <w:rFonts w:ascii="Arial" w:hAnsi="Arial" w:cs="Arial"/>
                <w:bCs/>
                <w:sz w:val="16"/>
                <w:szCs w:val="16"/>
              </w:rPr>
              <w:t>405,849</w:t>
            </w:r>
          </w:p>
        </w:tc>
      </w:tr>
      <w:tr w:rsidR="00832DC9" w:rsidRPr="004B5349" w14:paraId="3C38BAAD" w14:textId="77777777" w:rsidTr="0032126E">
        <w:trPr>
          <w:trHeight w:val="215"/>
        </w:trPr>
        <w:tc>
          <w:tcPr>
            <w:tcW w:w="5517" w:type="dxa"/>
            <w:tcBorders>
              <w:top w:val="single" w:sz="4" w:space="0" w:color="auto"/>
              <w:left w:val="nil"/>
              <w:bottom w:val="nil"/>
              <w:right w:val="nil"/>
            </w:tcBorders>
            <w:shd w:val="clear" w:color="auto" w:fill="auto"/>
            <w:hideMark/>
          </w:tcPr>
          <w:p w14:paraId="093E9463" w14:textId="32C9233F" w:rsidR="00832DC9" w:rsidRPr="00F56223" w:rsidRDefault="00832DC9" w:rsidP="00832DC9">
            <w:pPr>
              <w:rPr>
                <w:rFonts w:ascii="Arial" w:hAnsi="Arial" w:cs="Arial"/>
                <w:b/>
                <w:bCs/>
                <w:sz w:val="16"/>
                <w:szCs w:val="16"/>
              </w:rPr>
            </w:pPr>
            <w:r w:rsidRPr="00F56223">
              <w:rPr>
                <w:rFonts w:ascii="Arial" w:hAnsi="Arial" w:cs="Arial"/>
                <w:b/>
                <w:bCs/>
                <w:sz w:val="16"/>
                <w:szCs w:val="16"/>
              </w:rPr>
              <w:t>Loss before the following</w:t>
            </w:r>
          </w:p>
        </w:tc>
        <w:tc>
          <w:tcPr>
            <w:tcW w:w="1843" w:type="dxa"/>
            <w:tcBorders>
              <w:top w:val="single" w:sz="4" w:space="0" w:color="auto"/>
              <w:left w:val="nil"/>
              <w:bottom w:val="nil"/>
              <w:right w:val="nil"/>
            </w:tcBorders>
            <w:shd w:val="clear" w:color="auto" w:fill="auto"/>
          </w:tcPr>
          <w:p w14:paraId="46C873CA" w14:textId="189CEFFC" w:rsidR="00832DC9" w:rsidRPr="00C52166" w:rsidRDefault="00832DC9" w:rsidP="00832DC9">
            <w:pPr>
              <w:ind w:right="312"/>
              <w:jc w:val="right"/>
              <w:rPr>
                <w:rFonts w:ascii="Arial" w:hAnsi="Arial" w:cs="Arial"/>
                <w:b/>
                <w:bCs/>
                <w:sz w:val="16"/>
                <w:szCs w:val="16"/>
              </w:rPr>
            </w:pPr>
            <w:r w:rsidRPr="00C52166">
              <w:rPr>
                <w:rFonts w:ascii="Arial" w:hAnsi="Arial" w:cs="Arial"/>
                <w:b/>
                <w:bCs/>
                <w:sz w:val="16"/>
                <w:szCs w:val="16"/>
              </w:rPr>
              <w:t>(</w:t>
            </w:r>
            <w:r w:rsidR="000E5C4C" w:rsidRPr="00C52166">
              <w:rPr>
                <w:rFonts w:ascii="Arial" w:hAnsi="Arial" w:cs="Arial"/>
                <w:b/>
                <w:bCs/>
                <w:sz w:val="16"/>
                <w:szCs w:val="16"/>
              </w:rPr>
              <w:t>2</w:t>
            </w:r>
            <w:r w:rsidRPr="00C52166">
              <w:rPr>
                <w:rFonts w:ascii="Arial" w:hAnsi="Arial" w:cs="Arial"/>
                <w:b/>
                <w:bCs/>
                <w:sz w:val="16"/>
                <w:szCs w:val="16"/>
              </w:rPr>
              <w:t>,</w:t>
            </w:r>
            <w:r w:rsidR="001A1BBD">
              <w:rPr>
                <w:rFonts w:ascii="Arial" w:hAnsi="Arial" w:cs="Arial"/>
                <w:b/>
                <w:bCs/>
                <w:sz w:val="16"/>
                <w:szCs w:val="16"/>
              </w:rPr>
              <w:t>8</w:t>
            </w:r>
            <w:r w:rsidR="004D3407">
              <w:rPr>
                <w:rFonts w:ascii="Arial" w:hAnsi="Arial" w:cs="Arial"/>
                <w:b/>
                <w:bCs/>
                <w:sz w:val="16"/>
                <w:szCs w:val="16"/>
              </w:rPr>
              <w:t>5</w:t>
            </w:r>
            <w:r w:rsidR="001A1BBD">
              <w:rPr>
                <w:rFonts w:ascii="Arial" w:hAnsi="Arial" w:cs="Arial"/>
                <w:b/>
                <w:bCs/>
                <w:sz w:val="16"/>
                <w:szCs w:val="16"/>
              </w:rPr>
              <w:t>5,22</w:t>
            </w:r>
            <w:r w:rsidR="00604784">
              <w:rPr>
                <w:rFonts w:ascii="Arial" w:hAnsi="Arial" w:cs="Arial"/>
                <w:b/>
                <w:bCs/>
                <w:sz w:val="16"/>
                <w:szCs w:val="16"/>
              </w:rPr>
              <w:t>1</w:t>
            </w:r>
            <w:r w:rsidRPr="00C52166">
              <w:rPr>
                <w:rFonts w:ascii="Arial" w:hAnsi="Arial" w:cs="Arial"/>
                <w:b/>
                <w:bCs/>
                <w:sz w:val="16"/>
                <w:szCs w:val="16"/>
              </w:rPr>
              <w:t>)</w:t>
            </w:r>
          </w:p>
        </w:tc>
        <w:tc>
          <w:tcPr>
            <w:tcW w:w="1985" w:type="dxa"/>
            <w:tcBorders>
              <w:top w:val="single" w:sz="4" w:space="0" w:color="auto"/>
              <w:left w:val="nil"/>
              <w:right w:val="nil"/>
            </w:tcBorders>
            <w:shd w:val="clear" w:color="auto" w:fill="auto"/>
            <w:noWrap/>
          </w:tcPr>
          <w:p w14:paraId="130EDCC9" w14:textId="48D77B19" w:rsidR="00832DC9" w:rsidRPr="00832DC9" w:rsidRDefault="00832DC9" w:rsidP="00832DC9">
            <w:pPr>
              <w:ind w:right="312"/>
              <w:jc w:val="right"/>
              <w:rPr>
                <w:rFonts w:ascii="Arial" w:hAnsi="Arial" w:cs="Arial"/>
                <w:sz w:val="16"/>
                <w:szCs w:val="16"/>
              </w:rPr>
            </w:pPr>
            <w:r w:rsidRPr="00832DC9">
              <w:rPr>
                <w:rFonts w:ascii="Arial" w:hAnsi="Arial" w:cs="Arial"/>
                <w:bCs/>
                <w:sz w:val="16"/>
                <w:szCs w:val="16"/>
              </w:rPr>
              <w:t>(4,</w:t>
            </w:r>
            <w:r w:rsidR="00CD783C">
              <w:rPr>
                <w:rFonts w:ascii="Arial" w:hAnsi="Arial" w:cs="Arial"/>
                <w:bCs/>
                <w:sz w:val="16"/>
                <w:szCs w:val="16"/>
              </w:rPr>
              <w:t>24</w:t>
            </w:r>
            <w:r w:rsidRPr="00832DC9">
              <w:rPr>
                <w:rFonts w:ascii="Arial" w:hAnsi="Arial" w:cs="Arial"/>
                <w:bCs/>
                <w:sz w:val="16"/>
                <w:szCs w:val="16"/>
              </w:rPr>
              <w:t>1,871)</w:t>
            </w:r>
          </w:p>
        </w:tc>
      </w:tr>
      <w:tr w:rsidR="00832DC9" w:rsidRPr="004B5349" w14:paraId="4060B4DB" w14:textId="77777777" w:rsidTr="0032126E">
        <w:trPr>
          <w:trHeight w:val="425"/>
        </w:trPr>
        <w:tc>
          <w:tcPr>
            <w:tcW w:w="5517" w:type="dxa"/>
            <w:tcBorders>
              <w:top w:val="nil"/>
              <w:left w:val="nil"/>
              <w:bottom w:val="nil"/>
              <w:right w:val="nil"/>
            </w:tcBorders>
            <w:shd w:val="clear" w:color="auto" w:fill="auto"/>
            <w:vAlign w:val="center"/>
          </w:tcPr>
          <w:p w14:paraId="09043212" w14:textId="1743CAB6" w:rsidR="00832DC9" w:rsidRPr="00F56223" w:rsidRDefault="00832DC9" w:rsidP="00832DC9">
            <w:pPr>
              <w:rPr>
                <w:rFonts w:ascii="Arial" w:hAnsi="Arial" w:cs="Arial"/>
                <w:b/>
                <w:bCs/>
                <w:sz w:val="16"/>
                <w:szCs w:val="16"/>
              </w:rPr>
            </w:pPr>
            <w:r w:rsidRPr="00F56223">
              <w:rPr>
                <w:rFonts w:ascii="Arial" w:hAnsi="Arial" w:cs="Arial"/>
                <w:b/>
                <w:bCs/>
                <w:sz w:val="16"/>
                <w:szCs w:val="16"/>
              </w:rPr>
              <w:t>INCOME</w:t>
            </w:r>
          </w:p>
        </w:tc>
        <w:tc>
          <w:tcPr>
            <w:tcW w:w="1843" w:type="dxa"/>
            <w:tcBorders>
              <w:top w:val="nil"/>
              <w:left w:val="nil"/>
              <w:bottom w:val="nil"/>
              <w:right w:val="nil"/>
            </w:tcBorders>
            <w:shd w:val="clear" w:color="auto" w:fill="auto"/>
          </w:tcPr>
          <w:p w14:paraId="2A6DF35F" w14:textId="77777777" w:rsidR="00832DC9" w:rsidRPr="00C52166" w:rsidRDefault="00832DC9" w:rsidP="00832DC9">
            <w:pPr>
              <w:ind w:right="312"/>
              <w:jc w:val="right"/>
              <w:rPr>
                <w:rFonts w:ascii="Arial" w:hAnsi="Arial" w:cs="Arial"/>
                <w:b/>
                <w:bCs/>
                <w:sz w:val="16"/>
                <w:szCs w:val="16"/>
              </w:rPr>
            </w:pPr>
          </w:p>
        </w:tc>
        <w:tc>
          <w:tcPr>
            <w:tcW w:w="1985" w:type="dxa"/>
            <w:tcBorders>
              <w:left w:val="nil"/>
              <w:bottom w:val="nil"/>
              <w:right w:val="nil"/>
            </w:tcBorders>
            <w:shd w:val="clear" w:color="auto" w:fill="auto"/>
            <w:noWrap/>
          </w:tcPr>
          <w:p w14:paraId="571E4C44" w14:textId="77777777" w:rsidR="00832DC9" w:rsidRPr="00832DC9" w:rsidRDefault="00832DC9" w:rsidP="00832DC9">
            <w:pPr>
              <w:ind w:right="312"/>
              <w:jc w:val="right"/>
              <w:rPr>
                <w:rFonts w:ascii="Arial" w:hAnsi="Arial" w:cs="Arial"/>
                <w:sz w:val="16"/>
                <w:szCs w:val="16"/>
              </w:rPr>
            </w:pPr>
          </w:p>
        </w:tc>
      </w:tr>
      <w:tr w:rsidR="00832DC9" w:rsidRPr="004B5349" w14:paraId="4EFD8AC5" w14:textId="77777777" w:rsidTr="0032126E">
        <w:trPr>
          <w:trHeight w:val="215"/>
        </w:trPr>
        <w:tc>
          <w:tcPr>
            <w:tcW w:w="5517" w:type="dxa"/>
            <w:tcBorders>
              <w:top w:val="nil"/>
              <w:left w:val="nil"/>
              <w:bottom w:val="nil"/>
              <w:right w:val="nil"/>
            </w:tcBorders>
            <w:shd w:val="clear" w:color="auto" w:fill="auto"/>
            <w:hideMark/>
          </w:tcPr>
          <w:p w14:paraId="675E4667" w14:textId="73A55FD1" w:rsidR="00832DC9" w:rsidRPr="00F56223" w:rsidRDefault="00832DC9" w:rsidP="00832DC9">
            <w:pPr>
              <w:rPr>
                <w:rFonts w:ascii="Arial" w:hAnsi="Arial" w:cs="Arial"/>
                <w:sz w:val="16"/>
                <w:szCs w:val="16"/>
              </w:rPr>
            </w:pPr>
            <w:r w:rsidRPr="00F56223">
              <w:rPr>
                <w:rFonts w:ascii="Arial" w:hAnsi="Arial" w:cs="Arial"/>
                <w:sz w:val="16"/>
                <w:szCs w:val="16"/>
              </w:rPr>
              <w:t>Investment income</w:t>
            </w:r>
            <w:r w:rsidR="00C77F45">
              <w:rPr>
                <w:rFonts w:ascii="Arial" w:hAnsi="Arial" w:cs="Arial"/>
                <w:sz w:val="16"/>
                <w:szCs w:val="16"/>
              </w:rPr>
              <w:t xml:space="preserve"> </w:t>
            </w:r>
            <w:r w:rsidR="00C77F45" w:rsidRPr="007B2708">
              <w:rPr>
                <w:rFonts w:ascii="Arial" w:hAnsi="Arial" w:cs="Arial"/>
                <w:i/>
                <w:iCs/>
                <w:color w:val="000000"/>
                <w:sz w:val="16"/>
                <w:szCs w:val="16"/>
              </w:rPr>
              <w:t>[note 1</w:t>
            </w:r>
            <w:r w:rsidR="00C77F45">
              <w:rPr>
                <w:rFonts w:ascii="Arial" w:hAnsi="Arial" w:cs="Arial"/>
                <w:i/>
                <w:iCs/>
                <w:color w:val="000000"/>
                <w:sz w:val="16"/>
                <w:szCs w:val="16"/>
              </w:rPr>
              <w:t>3</w:t>
            </w:r>
            <w:r w:rsidR="00C77F45" w:rsidRPr="007B2708">
              <w:rPr>
                <w:rFonts w:ascii="Arial" w:hAnsi="Arial" w:cs="Arial"/>
                <w:i/>
                <w:iCs/>
                <w:color w:val="000000"/>
                <w:sz w:val="16"/>
                <w:szCs w:val="16"/>
              </w:rPr>
              <w:t>]</w:t>
            </w:r>
          </w:p>
        </w:tc>
        <w:tc>
          <w:tcPr>
            <w:tcW w:w="1843" w:type="dxa"/>
            <w:tcBorders>
              <w:top w:val="nil"/>
              <w:left w:val="nil"/>
              <w:bottom w:val="nil"/>
              <w:right w:val="nil"/>
            </w:tcBorders>
            <w:shd w:val="clear" w:color="auto" w:fill="auto"/>
          </w:tcPr>
          <w:p w14:paraId="44A20590" w14:textId="3AE4656B" w:rsidR="00832DC9" w:rsidRPr="00C52166" w:rsidRDefault="000E5C4C" w:rsidP="00832DC9">
            <w:pPr>
              <w:ind w:right="312"/>
              <w:jc w:val="right"/>
              <w:rPr>
                <w:rFonts w:ascii="Arial" w:hAnsi="Arial" w:cs="Arial"/>
                <w:b/>
                <w:bCs/>
                <w:sz w:val="16"/>
                <w:szCs w:val="16"/>
              </w:rPr>
            </w:pPr>
            <w:r w:rsidRPr="00C52166">
              <w:rPr>
                <w:rFonts w:ascii="Arial" w:hAnsi="Arial" w:cs="Arial"/>
                <w:b/>
                <w:bCs/>
                <w:sz w:val="16"/>
                <w:szCs w:val="16"/>
              </w:rPr>
              <w:t>34</w:t>
            </w:r>
            <w:r w:rsidR="00832DC9" w:rsidRPr="00C52166">
              <w:rPr>
                <w:rFonts w:ascii="Arial" w:hAnsi="Arial" w:cs="Arial"/>
                <w:b/>
                <w:bCs/>
                <w:sz w:val="16"/>
                <w:szCs w:val="16"/>
              </w:rPr>
              <w:t>,</w:t>
            </w:r>
            <w:r w:rsidRPr="00C52166">
              <w:rPr>
                <w:rFonts w:ascii="Arial" w:hAnsi="Arial" w:cs="Arial"/>
                <w:b/>
                <w:bCs/>
                <w:sz w:val="16"/>
                <w:szCs w:val="16"/>
              </w:rPr>
              <w:t>017</w:t>
            </w:r>
          </w:p>
        </w:tc>
        <w:tc>
          <w:tcPr>
            <w:tcW w:w="1985" w:type="dxa"/>
            <w:tcBorders>
              <w:top w:val="nil"/>
              <w:left w:val="nil"/>
              <w:bottom w:val="nil"/>
              <w:right w:val="nil"/>
            </w:tcBorders>
            <w:shd w:val="clear" w:color="auto" w:fill="auto"/>
            <w:noWrap/>
          </w:tcPr>
          <w:p w14:paraId="16BC405A" w14:textId="21CE5595" w:rsidR="00832DC9" w:rsidRPr="00832DC9" w:rsidRDefault="00832DC9" w:rsidP="00832DC9">
            <w:pPr>
              <w:ind w:right="312"/>
              <w:jc w:val="right"/>
              <w:rPr>
                <w:rFonts w:ascii="Arial" w:hAnsi="Arial" w:cs="Arial"/>
                <w:sz w:val="16"/>
                <w:szCs w:val="16"/>
              </w:rPr>
            </w:pPr>
            <w:r w:rsidRPr="00832DC9">
              <w:rPr>
                <w:rFonts w:ascii="Arial" w:hAnsi="Arial" w:cs="Arial"/>
                <w:bCs/>
                <w:sz w:val="16"/>
                <w:szCs w:val="16"/>
              </w:rPr>
              <w:t>2,965</w:t>
            </w:r>
          </w:p>
        </w:tc>
      </w:tr>
      <w:tr w:rsidR="00832DC9" w:rsidRPr="004B5349" w14:paraId="40A27D24" w14:textId="77777777" w:rsidTr="0032126E">
        <w:trPr>
          <w:trHeight w:val="215"/>
        </w:trPr>
        <w:tc>
          <w:tcPr>
            <w:tcW w:w="5517" w:type="dxa"/>
            <w:tcBorders>
              <w:top w:val="nil"/>
              <w:left w:val="nil"/>
              <w:bottom w:val="nil"/>
              <w:right w:val="nil"/>
            </w:tcBorders>
            <w:shd w:val="clear" w:color="auto" w:fill="auto"/>
            <w:hideMark/>
          </w:tcPr>
          <w:p w14:paraId="6FC18BBE" w14:textId="68328C16" w:rsidR="00832DC9" w:rsidRPr="007B2708" w:rsidRDefault="00832DC9" w:rsidP="00832DC9">
            <w:pPr>
              <w:rPr>
                <w:rFonts w:ascii="Arial" w:hAnsi="Arial" w:cs="Arial"/>
                <w:sz w:val="16"/>
                <w:szCs w:val="16"/>
              </w:rPr>
            </w:pPr>
            <w:r w:rsidRPr="007B2708">
              <w:rPr>
                <w:rFonts w:ascii="Arial" w:hAnsi="Arial" w:cs="Arial"/>
                <w:sz w:val="16"/>
                <w:szCs w:val="16"/>
              </w:rPr>
              <w:t xml:space="preserve">Other income </w:t>
            </w:r>
            <w:r w:rsidRPr="007B2708">
              <w:rPr>
                <w:rFonts w:ascii="Arial" w:hAnsi="Arial" w:cs="Arial"/>
                <w:i/>
                <w:iCs/>
                <w:color w:val="000000"/>
                <w:sz w:val="16"/>
                <w:szCs w:val="16"/>
              </w:rPr>
              <w:t>[note 1</w:t>
            </w:r>
            <w:r>
              <w:rPr>
                <w:rFonts w:ascii="Arial" w:hAnsi="Arial" w:cs="Arial"/>
                <w:i/>
                <w:iCs/>
                <w:color w:val="000000"/>
                <w:sz w:val="16"/>
                <w:szCs w:val="16"/>
              </w:rPr>
              <w:t>3</w:t>
            </w:r>
            <w:r w:rsidRPr="007B2708">
              <w:rPr>
                <w:rFonts w:ascii="Arial" w:hAnsi="Arial" w:cs="Arial"/>
                <w:i/>
                <w:iCs/>
                <w:color w:val="000000"/>
                <w:sz w:val="16"/>
                <w:szCs w:val="16"/>
              </w:rPr>
              <w:t>]</w:t>
            </w:r>
          </w:p>
        </w:tc>
        <w:tc>
          <w:tcPr>
            <w:tcW w:w="1843" w:type="dxa"/>
            <w:tcBorders>
              <w:top w:val="nil"/>
              <w:left w:val="nil"/>
              <w:bottom w:val="nil"/>
              <w:right w:val="nil"/>
            </w:tcBorders>
            <w:shd w:val="clear" w:color="auto" w:fill="auto"/>
          </w:tcPr>
          <w:p w14:paraId="01E93EB1" w14:textId="24ED6BD3" w:rsidR="00832DC9" w:rsidRPr="00C52166" w:rsidRDefault="00832DC9" w:rsidP="00832DC9">
            <w:pPr>
              <w:ind w:right="312"/>
              <w:jc w:val="right"/>
              <w:rPr>
                <w:rFonts w:ascii="Arial" w:hAnsi="Arial" w:cs="Arial"/>
                <w:b/>
                <w:bCs/>
                <w:sz w:val="16"/>
                <w:szCs w:val="16"/>
              </w:rPr>
            </w:pPr>
            <w:r w:rsidRPr="00C52166">
              <w:rPr>
                <w:rFonts w:ascii="Arial" w:hAnsi="Arial" w:cs="Arial"/>
                <w:b/>
                <w:bCs/>
                <w:sz w:val="16"/>
                <w:szCs w:val="16"/>
              </w:rPr>
              <w:t>15,</w:t>
            </w:r>
            <w:r w:rsidR="000E5C4C" w:rsidRPr="00C52166">
              <w:rPr>
                <w:rFonts w:ascii="Arial" w:hAnsi="Arial" w:cs="Arial"/>
                <w:b/>
                <w:bCs/>
                <w:sz w:val="16"/>
                <w:szCs w:val="16"/>
              </w:rPr>
              <w:t>0</w:t>
            </w:r>
            <w:r w:rsidRPr="00C52166">
              <w:rPr>
                <w:rFonts w:ascii="Arial" w:hAnsi="Arial" w:cs="Arial"/>
                <w:b/>
                <w:bCs/>
                <w:sz w:val="16"/>
                <w:szCs w:val="16"/>
              </w:rPr>
              <w:t>00</w:t>
            </w:r>
          </w:p>
        </w:tc>
        <w:tc>
          <w:tcPr>
            <w:tcW w:w="1985" w:type="dxa"/>
            <w:tcBorders>
              <w:top w:val="nil"/>
              <w:left w:val="nil"/>
              <w:bottom w:val="nil"/>
              <w:right w:val="nil"/>
            </w:tcBorders>
            <w:shd w:val="clear" w:color="auto" w:fill="auto"/>
            <w:noWrap/>
          </w:tcPr>
          <w:p w14:paraId="6C16C578" w14:textId="57F503F9" w:rsidR="00832DC9" w:rsidRPr="00832DC9" w:rsidRDefault="00832DC9" w:rsidP="00832DC9">
            <w:pPr>
              <w:ind w:right="312"/>
              <w:jc w:val="right"/>
              <w:rPr>
                <w:rFonts w:ascii="Arial" w:hAnsi="Arial" w:cs="Arial"/>
                <w:sz w:val="16"/>
                <w:szCs w:val="16"/>
              </w:rPr>
            </w:pPr>
            <w:r w:rsidRPr="00832DC9">
              <w:rPr>
                <w:rFonts w:ascii="Arial" w:hAnsi="Arial" w:cs="Arial"/>
                <w:bCs/>
                <w:sz w:val="16"/>
                <w:szCs w:val="16"/>
              </w:rPr>
              <w:t>1,515,500</w:t>
            </w:r>
          </w:p>
        </w:tc>
      </w:tr>
      <w:tr w:rsidR="00832DC9" w:rsidRPr="004B5349" w14:paraId="1319F91A" w14:textId="77777777" w:rsidTr="0032126E">
        <w:trPr>
          <w:trHeight w:val="215"/>
        </w:trPr>
        <w:tc>
          <w:tcPr>
            <w:tcW w:w="5517" w:type="dxa"/>
            <w:tcBorders>
              <w:top w:val="single" w:sz="4" w:space="0" w:color="auto"/>
              <w:left w:val="nil"/>
              <w:right w:val="nil"/>
            </w:tcBorders>
            <w:shd w:val="clear" w:color="auto" w:fill="auto"/>
            <w:hideMark/>
          </w:tcPr>
          <w:p w14:paraId="2FE690BB" w14:textId="66F6A6FC" w:rsidR="00832DC9" w:rsidRPr="00F56223" w:rsidRDefault="00832DC9" w:rsidP="00832DC9">
            <w:pPr>
              <w:rPr>
                <w:rFonts w:ascii="Arial" w:hAnsi="Arial" w:cs="Arial"/>
                <w:b/>
                <w:bCs/>
                <w:sz w:val="16"/>
                <w:szCs w:val="16"/>
              </w:rPr>
            </w:pPr>
            <w:r w:rsidRPr="00F56223">
              <w:rPr>
                <w:rFonts w:ascii="Arial" w:hAnsi="Arial" w:cs="Arial"/>
                <w:b/>
                <w:bCs/>
                <w:sz w:val="16"/>
                <w:szCs w:val="16"/>
              </w:rPr>
              <w:t>Loss before income taxes</w:t>
            </w:r>
          </w:p>
        </w:tc>
        <w:tc>
          <w:tcPr>
            <w:tcW w:w="1843" w:type="dxa"/>
            <w:tcBorders>
              <w:top w:val="single" w:sz="4" w:space="0" w:color="auto"/>
              <w:left w:val="nil"/>
              <w:right w:val="nil"/>
            </w:tcBorders>
            <w:shd w:val="clear" w:color="auto" w:fill="auto"/>
          </w:tcPr>
          <w:p w14:paraId="45882E39" w14:textId="14F55BED" w:rsidR="00832DC9" w:rsidRPr="00C52166" w:rsidRDefault="00832DC9" w:rsidP="00832DC9">
            <w:pPr>
              <w:ind w:right="312"/>
              <w:jc w:val="right"/>
              <w:rPr>
                <w:rFonts w:ascii="Arial" w:hAnsi="Arial" w:cs="Arial"/>
                <w:b/>
                <w:bCs/>
                <w:sz w:val="16"/>
                <w:szCs w:val="16"/>
              </w:rPr>
            </w:pPr>
            <w:r w:rsidRPr="00C52166">
              <w:rPr>
                <w:rFonts w:ascii="Arial" w:hAnsi="Arial" w:cs="Arial"/>
                <w:b/>
                <w:bCs/>
                <w:sz w:val="16"/>
                <w:szCs w:val="16"/>
              </w:rPr>
              <w:t>(2,</w:t>
            </w:r>
            <w:r w:rsidR="004D3407">
              <w:rPr>
                <w:rFonts w:ascii="Arial" w:hAnsi="Arial" w:cs="Arial"/>
                <w:b/>
                <w:bCs/>
                <w:sz w:val="16"/>
                <w:szCs w:val="16"/>
              </w:rPr>
              <w:t>80</w:t>
            </w:r>
            <w:r w:rsidR="001A1BBD">
              <w:rPr>
                <w:rFonts w:ascii="Arial" w:hAnsi="Arial" w:cs="Arial"/>
                <w:b/>
                <w:bCs/>
                <w:sz w:val="16"/>
                <w:szCs w:val="16"/>
              </w:rPr>
              <w:t>6,20</w:t>
            </w:r>
            <w:r w:rsidR="00604784">
              <w:rPr>
                <w:rFonts w:ascii="Arial" w:hAnsi="Arial" w:cs="Arial"/>
                <w:b/>
                <w:bCs/>
                <w:sz w:val="16"/>
                <w:szCs w:val="16"/>
              </w:rPr>
              <w:t>4</w:t>
            </w:r>
            <w:r w:rsidRPr="00C52166">
              <w:rPr>
                <w:rFonts w:ascii="Arial" w:hAnsi="Arial" w:cs="Arial"/>
                <w:b/>
                <w:bCs/>
                <w:sz w:val="16"/>
                <w:szCs w:val="16"/>
              </w:rPr>
              <w:t>)</w:t>
            </w:r>
          </w:p>
        </w:tc>
        <w:tc>
          <w:tcPr>
            <w:tcW w:w="1985" w:type="dxa"/>
            <w:tcBorders>
              <w:top w:val="single" w:sz="4" w:space="0" w:color="auto"/>
              <w:left w:val="nil"/>
              <w:right w:val="nil"/>
            </w:tcBorders>
            <w:shd w:val="clear" w:color="auto" w:fill="auto"/>
            <w:noWrap/>
          </w:tcPr>
          <w:p w14:paraId="14621DB2" w14:textId="731956A7" w:rsidR="00832DC9" w:rsidRPr="00832DC9" w:rsidRDefault="00832DC9" w:rsidP="00832DC9">
            <w:pPr>
              <w:ind w:right="312"/>
              <w:jc w:val="right"/>
              <w:rPr>
                <w:rFonts w:ascii="Arial" w:hAnsi="Arial" w:cs="Arial"/>
                <w:sz w:val="16"/>
                <w:szCs w:val="16"/>
              </w:rPr>
            </w:pPr>
            <w:r w:rsidRPr="00832DC9">
              <w:rPr>
                <w:rFonts w:ascii="Arial" w:hAnsi="Arial" w:cs="Arial"/>
                <w:bCs/>
                <w:sz w:val="16"/>
                <w:szCs w:val="16"/>
              </w:rPr>
              <w:t>(2,</w:t>
            </w:r>
            <w:r w:rsidR="00CD783C">
              <w:rPr>
                <w:rFonts w:ascii="Arial" w:hAnsi="Arial" w:cs="Arial"/>
                <w:bCs/>
                <w:sz w:val="16"/>
                <w:szCs w:val="16"/>
              </w:rPr>
              <w:t>72</w:t>
            </w:r>
            <w:r w:rsidRPr="00832DC9">
              <w:rPr>
                <w:rFonts w:ascii="Arial" w:hAnsi="Arial" w:cs="Arial"/>
                <w:bCs/>
                <w:sz w:val="16"/>
                <w:szCs w:val="16"/>
              </w:rPr>
              <w:t>3,40</w:t>
            </w:r>
            <w:r w:rsidR="00CD783C">
              <w:rPr>
                <w:rFonts w:ascii="Arial" w:hAnsi="Arial" w:cs="Arial"/>
                <w:bCs/>
                <w:sz w:val="16"/>
                <w:szCs w:val="16"/>
              </w:rPr>
              <w:t>5</w:t>
            </w:r>
            <w:r w:rsidRPr="00832DC9">
              <w:rPr>
                <w:rFonts w:ascii="Arial" w:hAnsi="Arial" w:cs="Arial"/>
                <w:bCs/>
                <w:sz w:val="16"/>
                <w:szCs w:val="16"/>
              </w:rPr>
              <w:t>)</w:t>
            </w:r>
          </w:p>
        </w:tc>
      </w:tr>
      <w:tr w:rsidR="00832DC9" w:rsidRPr="004B5349" w14:paraId="4EBFEDA9" w14:textId="77777777" w:rsidTr="0032126E">
        <w:trPr>
          <w:trHeight w:val="215"/>
        </w:trPr>
        <w:tc>
          <w:tcPr>
            <w:tcW w:w="5517" w:type="dxa"/>
            <w:tcBorders>
              <w:top w:val="nil"/>
              <w:left w:val="nil"/>
              <w:bottom w:val="single" w:sz="4" w:space="0" w:color="auto"/>
              <w:right w:val="nil"/>
            </w:tcBorders>
            <w:shd w:val="clear" w:color="auto" w:fill="auto"/>
            <w:hideMark/>
          </w:tcPr>
          <w:p w14:paraId="66762034" w14:textId="6C90E328" w:rsidR="00832DC9" w:rsidRPr="007B2708" w:rsidRDefault="00832DC9" w:rsidP="00832DC9">
            <w:pPr>
              <w:rPr>
                <w:rFonts w:ascii="Arial" w:hAnsi="Arial" w:cs="Arial"/>
                <w:i/>
                <w:iCs/>
                <w:color w:val="000000"/>
                <w:sz w:val="16"/>
                <w:szCs w:val="16"/>
              </w:rPr>
            </w:pPr>
            <w:r w:rsidRPr="00F56223">
              <w:rPr>
                <w:rFonts w:ascii="Arial" w:hAnsi="Arial" w:cs="Arial"/>
                <w:sz w:val="16"/>
                <w:szCs w:val="16"/>
              </w:rPr>
              <w:t>Income tax expense</w:t>
            </w:r>
            <w:r>
              <w:rPr>
                <w:rFonts w:ascii="Arial" w:hAnsi="Arial" w:cs="Arial"/>
                <w:sz w:val="16"/>
                <w:szCs w:val="16"/>
              </w:rPr>
              <w:t xml:space="preserve"> (recovery) </w:t>
            </w:r>
            <w:r w:rsidRPr="00795F41">
              <w:rPr>
                <w:rFonts w:ascii="Arial" w:hAnsi="Arial" w:cs="Arial"/>
                <w:i/>
                <w:iCs/>
                <w:color w:val="000000"/>
                <w:sz w:val="16"/>
                <w:szCs w:val="16"/>
              </w:rPr>
              <w:t xml:space="preserve">[note </w:t>
            </w:r>
            <w:r>
              <w:rPr>
                <w:rFonts w:ascii="Arial" w:hAnsi="Arial" w:cs="Arial"/>
                <w:i/>
                <w:iCs/>
                <w:color w:val="000000"/>
                <w:sz w:val="16"/>
                <w:szCs w:val="16"/>
              </w:rPr>
              <w:t>12</w:t>
            </w:r>
            <w:r w:rsidRPr="00795F41">
              <w:rPr>
                <w:rFonts w:ascii="Arial" w:hAnsi="Arial" w:cs="Arial"/>
                <w:i/>
                <w:iCs/>
                <w:color w:val="000000"/>
                <w:sz w:val="16"/>
                <w:szCs w:val="16"/>
              </w:rPr>
              <w:t>]</w:t>
            </w:r>
          </w:p>
        </w:tc>
        <w:tc>
          <w:tcPr>
            <w:tcW w:w="1843" w:type="dxa"/>
            <w:tcBorders>
              <w:top w:val="nil"/>
              <w:left w:val="nil"/>
              <w:bottom w:val="single" w:sz="4" w:space="0" w:color="auto"/>
              <w:right w:val="nil"/>
            </w:tcBorders>
            <w:shd w:val="clear" w:color="auto" w:fill="auto"/>
          </w:tcPr>
          <w:p w14:paraId="3F9C52AF" w14:textId="00F30BC0" w:rsidR="00832DC9" w:rsidRPr="00C52166" w:rsidRDefault="000E5C4C" w:rsidP="00832DC9">
            <w:pPr>
              <w:ind w:right="312"/>
              <w:jc w:val="right"/>
              <w:rPr>
                <w:rFonts w:ascii="Arial" w:hAnsi="Arial" w:cs="Arial"/>
                <w:b/>
                <w:bCs/>
                <w:sz w:val="16"/>
                <w:szCs w:val="16"/>
              </w:rPr>
            </w:pPr>
            <w:r w:rsidRPr="00C52166">
              <w:rPr>
                <w:rFonts w:ascii="Arial" w:hAnsi="Arial" w:cs="Arial"/>
                <w:b/>
                <w:bCs/>
                <w:sz w:val="16"/>
                <w:szCs w:val="16"/>
              </w:rPr>
              <w:t>-</w:t>
            </w:r>
          </w:p>
        </w:tc>
        <w:tc>
          <w:tcPr>
            <w:tcW w:w="1985" w:type="dxa"/>
            <w:tcBorders>
              <w:top w:val="nil"/>
              <w:left w:val="nil"/>
              <w:bottom w:val="single" w:sz="4" w:space="0" w:color="auto"/>
              <w:right w:val="nil"/>
            </w:tcBorders>
            <w:shd w:val="clear" w:color="auto" w:fill="auto"/>
            <w:noWrap/>
          </w:tcPr>
          <w:p w14:paraId="6B1CE667" w14:textId="115F5E5D" w:rsidR="00832DC9" w:rsidRPr="00832DC9" w:rsidRDefault="00832DC9" w:rsidP="00832DC9">
            <w:pPr>
              <w:ind w:right="312"/>
              <w:jc w:val="right"/>
              <w:rPr>
                <w:rFonts w:ascii="Arial" w:hAnsi="Arial" w:cs="Arial"/>
                <w:sz w:val="16"/>
                <w:szCs w:val="16"/>
              </w:rPr>
            </w:pPr>
            <w:r w:rsidRPr="00832DC9">
              <w:rPr>
                <w:rFonts w:ascii="Arial" w:hAnsi="Arial" w:cs="Arial"/>
                <w:bCs/>
                <w:sz w:val="16"/>
                <w:szCs w:val="16"/>
              </w:rPr>
              <w:t>(36,065)</w:t>
            </w:r>
          </w:p>
        </w:tc>
      </w:tr>
      <w:tr w:rsidR="00832DC9" w:rsidRPr="004B5349" w14:paraId="6910EB72" w14:textId="77777777" w:rsidTr="0032126E">
        <w:trPr>
          <w:trHeight w:val="425"/>
        </w:trPr>
        <w:tc>
          <w:tcPr>
            <w:tcW w:w="5517" w:type="dxa"/>
            <w:tcBorders>
              <w:top w:val="single" w:sz="4" w:space="0" w:color="auto"/>
              <w:left w:val="nil"/>
              <w:right w:val="nil"/>
            </w:tcBorders>
            <w:shd w:val="clear" w:color="auto" w:fill="auto"/>
            <w:vAlign w:val="center"/>
            <w:hideMark/>
          </w:tcPr>
          <w:p w14:paraId="340D4A22" w14:textId="74A4B820" w:rsidR="00832DC9" w:rsidRPr="00F56223" w:rsidRDefault="00832DC9" w:rsidP="00832DC9">
            <w:pPr>
              <w:rPr>
                <w:rFonts w:ascii="Arial" w:hAnsi="Arial" w:cs="Arial"/>
                <w:b/>
                <w:bCs/>
                <w:sz w:val="16"/>
                <w:szCs w:val="16"/>
              </w:rPr>
            </w:pPr>
            <w:r w:rsidRPr="00F56223">
              <w:rPr>
                <w:rFonts w:ascii="Arial" w:hAnsi="Arial" w:cs="Arial"/>
                <w:b/>
                <w:bCs/>
                <w:sz w:val="16"/>
                <w:szCs w:val="16"/>
              </w:rPr>
              <w:t>Loss for the</w:t>
            </w:r>
            <w:r>
              <w:rPr>
                <w:rFonts w:ascii="Arial" w:hAnsi="Arial" w:cs="Arial"/>
                <w:b/>
                <w:bCs/>
                <w:sz w:val="16"/>
                <w:szCs w:val="16"/>
              </w:rPr>
              <w:t xml:space="preserve"> year</w:t>
            </w:r>
          </w:p>
        </w:tc>
        <w:tc>
          <w:tcPr>
            <w:tcW w:w="1843" w:type="dxa"/>
            <w:tcBorders>
              <w:top w:val="single" w:sz="4" w:space="0" w:color="auto"/>
              <w:left w:val="nil"/>
              <w:right w:val="nil"/>
            </w:tcBorders>
            <w:shd w:val="clear" w:color="auto" w:fill="auto"/>
            <w:vAlign w:val="center"/>
          </w:tcPr>
          <w:p w14:paraId="1842C565" w14:textId="3F31DF1D" w:rsidR="00832DC9" w:rsidRPr="00C52166" w:rsidRDefault="00832DC9" w:rsidP="00832DC9">
            <w:pPr>
              <w:ind w:right="312"/>
              <w:jc w:val="right"/>
              <w:rPr>
                <w:rFonts w:ascii="Arial" w:hAnsi="Arial" w:cs="Arial"/>
                <w:b/>
                <w:bCs/>
                <w:sz w:val="16"/>
                <w:szCs w:val="16"/>
              </w:rPr>
            </w:pPr>
            <w:r w:rsidRPr="00C52166">
              <w:rPr>
                <w:rFonts w:ascii="Arial" w:hAnsi="Arial" w:cs="Arial"/>
                <w:b/>
                <w:bCs/>
                <w:sz w:val="16"/>
                <w:szCs w:val="16"/>
              </w:rPr>
              <w:t>(2,</w:t>
            </w:r>
            <w:r w:rsidR="004D3407">
              <w:rPr>
                <w:rFonts w:ascii="Arial" w:hAnsi="Arial" w:cs="Arial"/>
                <w:b/>
                <w:bCs/>
                <w:sz w:val="16"/>
                <w:szCs w:val="16"/>
              </w:rPr>
              <w:t>80</w:t>
            </w:r>
            <w:r w:rsidR="001A1BBD">
              <w:rPr>
                <w:rFonts w:ascii="Arial" w:hAnsi="Arial" w:cs="Arial"/>
                <w:b/>
                <w:bCs/>
                <w:sz w:val="16"/>
                <w:szCs w:val="16"/>
              </w:rPr>
              <w:t>6,20</w:t>
            </w:r>
            <w:r w:rsidR="00604784">
              <w:rPr>
                <w:rFonts w:ascii="Arial" w:hAnsi="Arial" w:cs="Arial"/>
                <w:b/>
                <w:bCs/>
                <w:sz w:val="16"/>
                <w:szCs w:val="16"/>
              </w:rPr>
              <w:t>4</w:t>
            </w:r>
            <w:r w:rsidRPr="00C52166">
              <w:rPr>
                <w:rFonts w:ascii="Arial" w:hAnsi="Arial" w:cs="Arial"/>
                <w:b/>
                <w:bCs/>
                <w:sz w:val="16"/>
                <w:szCs w:val="16"/>
              </w:rPr>
              <w:t>)</w:t>
            </w:r>
          </w:p>
        </w:tc>
        <w:tc>
          <w:tcPr>
            <w:tcW w:w="1985" w:type="dxa"/>
            <w:tcBorders>
              <w:top w:val="single" w:sz="4" w:space="0" w:color="auto"/>
              <w:left w:val="nil"/>
              <w:right w:val="nil"/>
            </w:tcBorders>
            <w:shd w:val="clear" w:color="auto" w:fill="auto"/>
            <w:noWrap/>
            <w:vAlign w:val="center"/>
          </w:tcPr>
          <w:p w14:paraId="549B68D1" w14:textId="598A1917" w:rsidR="00832DC9" w:rsidRPr="00832DC9" w:rsidRDefault="00832DC9" w:rsidP="00832DC9">
            <w:pPr>
              <w:ind w:right="312"/>
              <w:jc w:val="right"/>
              <w:rPr>
                <w:rFonts w:ascii="Arial" w:hAnsi="Arial" w:cs="Arial"/>
                <w:sz w:val="16"/>
                <w:szCs w:val="16"/>
              </w:rPr>
            </w:pPr>
            <w:r w:rsidRPr="00832DC9">
              <w:rPr>
                <w:rFonts w:ascii="Arial" w:hAnsi="Arial" w:cs="Arial"/>
                <w:bCs/>
                <w:sz w:val="16"/>
                <w:szCs w:val="16"/>
              </w:rPr>
              <w:t>(2,6</w:t>
            </w:r>
            <w:r w:rsidR="00CD783C">
              <w:rPr>
                <w:rFonts w:ascii="Arial" w:hAnsi="Arial" w:cs="Arial"/>
                <w:bCs/>
                <w:sz w:val="16"/>
                <w:szCs w:val="16"/>
              </w:rPr>
              <w:t>8</w:t>
            </w:r>
            <w:r w:rsidRPr="00832DC9">
              <w:rPr>
                <w:rFonts w:ascii="Arial" w:hAnsi="Arial" w:cs="Arial"/>
                <w:bCs/>
                <w:sz w:val="16"/>
                <w:szCs w:val="16"/>
              </w:rPr>
              <w:t>7,34</w:t>
            </w:r>
            <w:r w:rsidR="00CD783C">
              <w:rPr>
                <w:rFonts w:ascii="Arial" w:hAnsi="Arial" w:cs="Arial"/>
                <w:bCs/>
                <w:sz w:val="16"/>
                <w:szCs w:val="16"/>
              </w:rPr>
              <w:t>0</w:t>
            </w:r>
            <w:r w:rsidRPr="00832DC9">
              <w:rPr>
                <w:rFonts w:ascii="Arial" w:hAnsi="Arial" w:cs="Arial"/>
                <w:bCs/>
                <w:sz w:val="16"/>
                <w:szCs w:val="16"/>
              </w:rPr>
              <w:t>)</w:t>
            </w:r>
          </w:p>
        </w:tc>
      </w:tr>
      <w:tr w:rsidR="00832DC9" w:rsidRPr="004B5349" w14:paraId="2B5EC53E" w14:textId="77777777" w:rsidTr="0032126E">
        <w:trPr>
          <w:trHeight w:val="215"/>
        </w:trPr>
        <w:tc>
          <w:tcPr>
            <w:tcW w:w="5517" w:type="dxa"/>
            <w:tcBorders>
              <w:top w:val="nil"/>
              <w:left w:val="nil"/>
              <w:bottom w:val="single" w:sz="4" w:space="0" w:color="auto"/>
              <w:right w:val="nil"/>
            </w:tcBorders>
            <w:shd w:val="clear" w:color="auto" w:fill="auto"/>
            <w:hideMark/>
          </w:tcPr>
          <w:p w14:paraId="4925663B" w14:textId="026ED358" w:rsidR="00832DC9" w:rsidRPr="00F56223" w:rsidRDefault="00832DC9" w:rsidP="00832DC9">
            <w:pPr>
              <w:rPr>
                <w:rFonts w:ascii="Arial" w:hAnsi="Arial" w:cs="Arial"/>
                <w:sz w:val="16"/>
                <w:szCs w:val="16"/>
              </w:rPr>
            </w:pPr>
            <w:r w:rsidRPr="00F56223">
              <w:rPr>
                <w:rFonts w:ascii="Arial" w:hAnsi="Arial" w:cs="Arial"/>
                <w:sz w:val="16"/>
                <w:szCs w:val="16"/>
              </w:rPr>
              <w:t>Exchange differences related to foreign operations</w:t>
            </w:r>
          </w:p>
        </w:tc>
        <w:tc>
          <w:tcPr>
            <w:tcW w:w="1843" w:type="dxa"/>
            <w:tcBorders>
              <w:top w:val="nil"/>
              <w:left w:val="nil"/>
              <w:bottom w:val="single" w:sz="4" w:space="0" w:color="auto"/>
              <w:right w:val="nil"/>
            </w:tcBorders>
            <w:shd w:val="clear" w:color="auto" w:fill="auto"/>
          </w:tcPr>
          <w:p w14:paraId="1401CBC2" w14:textId="363F8CBC" w:rsidR="00832DC9" w:rsidRPr="00C52166" w:rsidRDefault="000E5C4C" w:rsidP="00832DC9">
            <w:pPr>
              <w:ind w:right="312"/>
              <w:jc w:val="right"/>
              <w:rPr>
                <w:rFonts w:ascii="Arial" w:hAnsi="Arial" w:cs="Arial"/>
                <w:b/>
                <w:bCs/>
                <w:sz w:val="16"/>
                <w:szCs w:val="16"/>
              </w:rPr>
            </w:pPr>
            <w:r w:rsidRPr="00C52166">
              <w:rPr>
                <w:rFonts w:ascii="Arial" w:hAnsi="Arial" w:cs="Arial"/>
                <w:b/>
                <w:bCs/>
                <w:sz w:val="16"/>
                <w:szCs w:val="16"/>
              </w:rPr>
              <w:t>7</w:t>
            </w:r>
            <w:r w:rsidR="001A1BBD">
              <w:rPr>
                <w:rFonts w:ascii="Arial" w:hAnsi="Arial" w:cs="Arial"/>
                <w:b/>
                <w:bCs/>
                <w:sz w:val="16"/>
                <w:szCs w:val="16"/>
              </w:rPr>
              <w:t>4,521</w:t>
            </w:r>
          </w:p>
        </w:tc>
        <w:tc>
          <w:tcPr>
            <w:tcW w:w="1985" w:type="dxa"/>
            <w:tcBorders>
              <w:top w:val="nil"/>
              <w:left w:val="nil"/>
              <w:bottom w:val="single" w:sz="4" w:space="0" w:color="auto"/>
              <w:right w:val="nil"/>
            </w:tcBorders>
            <w:shd w:val="clear" w:color="auto" w:fill="auto"/>
            <w:noWrap/>
          </w:tcPr>
          <w:p w14:paraId="23F28ED8" w14:textId="21F16013" w:rsidR="00832DC9" w:rsidRPr="00832DC9" w:rsidRDefault="00832DC9" w:rsidP="00832DC9">
            <w:pPr>
              <w:ind w:right="312"/>
              <w:jc w:val="right"/>
              <w:rPr>
                <w:rFonts w:ascii="Arial" w:hAnsi="Arial" w:cs="Arial"/>
                <w:sz w:val="16"/>
                <w:szCs w:val="16"/>
              </w:rPr>
            </w:pPr>
            <w:r w:rsidRPr="00832DC9">
              <w:rPr>
                <w:rFonts w:ascii="Arial" w:hAnsi="Arial" w:cs="Arial"/>
                <w:bCs/>
                <w:sz w:val="16"/>
                <w:szCs w:val="16"/>
              </w:rPr>
              <w:t>(90,69</w:t>
            </w:r>
            <w:r w:rsidR="00CD783C">
              <w:rPr>
                <w:rFonts w:ascii="Arial" w:hAnsi="Arial" w:cs="Arial"/>
                <w:bCs/>
                <w:sz w:val="16"/>
                <w:szCs w:val="16"/>
              </w:rPr>
              <w:t>7</w:t>
            </w:r>
            <w:r w:rsidRPr="00832DC9">
              <w:rPr>
                <w:rFonts w:ascii="Arial" w:hAnsi="Arial" w:cs="Arial"/>
                <w:bCs/>
                <w:sz w:val="16"/>
                <w:szCs w:val="16"/>
              </w:rPr>
              <w:t>)</w:t>
            </w:r>
          </w:p>
        </w:tc>
      </w:tr>
      <w:tr w:rsidR="00832DC9" w:rsidRPr="004B5349" w14:paraId="65F74B03" w14:textId="77777777" w:rsidTr="0032126E">
        <w:trPr>
          <w:trHeight w:val="425"/>
        </w:trPr>
        <w:tc>
          <w:tcPr>
            <w:tcW w:w="5517" w:type="dxa"/>
            <w:tcBorders>
              <w:top w:val="single" w:sz="4" w:space="0" w:color="auto"/>
              <w:left w:val="nil"/>
              <w:right w:val="nil"/>
            </w:tcBorders>
            <w:shd w:val="clear" w:color="auto" w:fill="auto"/>
            <w:vAlign w:val="center"/>
            <w:hideMark/>
          </w:tcPr>
          <w:p w14:paraId="6DC1AE04" w14:textId="49FB35D5" w:rsidR="00832DC9" w:rsidRPr="00F56223" w:rsidRDefault="00832DC9" w:rsidP="00832DC9">
            <w:pPr>
              <w:rPr>
                <w:rFonts w:ascii="Arial" w:hAnsi="Arial" w:cs="Arial"/>
                <w:b/>
                <w:bCs/>
                <w:sz w:val="16"/>
                <w:szCs w:val="16"/>
              </w:rPr>
            </w:pPr>
            <w:r w:rsidRPr="00F56223">
              <w:rPr>
                <w:rFonts w:ascii="Arial" w:hAnsi="Arial" w:cs="Arial"/>
                <w:b/>
                <w:bCs/>
                <w:sz w:val="16"/>
                <w:szCs w:val="16"/>
              </w:rPr>
              <w:t>Total comprehensive</w:t>
            </w:r>
            <w:r>
              <w:rPr>
                <w:rFonts w:ascii="Arial" w:hAnsi="Arial" w:cs="Arial"/>
                <w:b/>
                <w:bCs/>
                <w:sz w:val="16"/>
                <w:szCs w:val="16"/>
              </w:rPr>
              <w:t xml:space="preserve"> </w:t>
            </w:r>
            <w:r w:rsidRPr="00F56223">
              <w:rPr>
                <w:rFonts w:ascii="Arial" w:hAnsi="Arial" w:cs="Arial"/>
                <w:b/>
                <w:bCs/>
                <w:sz w:val="16"/>
                <w:szCs w:val="16"/>
              </w:rPr>
              <w:t xml:space="preserve">loss for </w:t>
            </w:r>
            <w:r>
              <w:rPr>
                <w:rFonts w:ascii="Arial" w:hAnsi="Arial" w:cs="Arial"/>
                <w:b/>
                <w:bCs/>
                <w:sz w:val="16"/>
                <w:szCs w:val="16"/>
              </w:rPr>
              <w:t>year</w:t>
            </w:r>
          </w:p>
        </w:tc>
        <w:tc>
          <w:tcPr>
            <w:tcW w:w="1843" w:type="dxa"/>
            <w:tcBorders>
              <w:top w:val="single" w:sz="4" w:space="0" w:color="auto"/>
              <w:left w:val="nil"/>
              <w:right w:val="nil"/>
            </w:tcBorders>
            <w:shd w:val="clear" w:color="auto" w:fill="auto"/>
            <w:vAlign w:val="center"/>
          </w:tcPr>
          <w:p w14:paraId="6516BA8B" w14:textId="1C054011" w:rsidR="00832DC9" w:rsidRPr="00C52166" w:rsidRDefault="00832DC9" w:rsidP="00832DC9">
            <w:pPr>
              <w:ind w:right="312"/>
              <w:jc w:val="right"/>
              <w:rPr>
                <w:rFonts w:ascii="Arial" w:hAnsi="Arial" w:cs="Arial"/>
                <w:b/>
                <w:bCs/>
                <w:sz w:val="16"/>
                <w:szCs w:val="16"/>
              </w:rPr>
            </w:pPr>
            <w:r w:rsidRPr="00C52166">
              <w:rPr>
                <w:rFonts w:ascii="Arial" w:hAnsi="Arial" w:cs="Arial"/>
                <w:b/>
                <w:bCs/>
                <w:sz w:val="16"/>
                <w:szCs w:val="16"/>
              </w:rPr>
              <w:t>(2,</w:t>
            </w:r>
            <w:r w:rsidR="004D3407">
              <w:rPr>
                <w:rFonts w:ascii="Arial" w:hAnsi="Arial" w:cs="Arial"/>
                <w:b/>
                <w:bCs/>
                <w:sz w:val="16"/>
                <w:szCs w:val="16"/>
              </w:rPr>
              <w:t>73</w:t>
            </w:r>
            <w:r w:rsidR="001A1BBD">
              <w:rPr>
                <w:rFonts w:ascii="Arial" w:hAnsi="Arial" w:cs="Arial"/>
                <w:b/>
                <w:bCs/>
                <w:sz w:val="16"/>
                <w:szCs w:val="16"/>
              </w:rPr>
              <w:t>1,68</w:t>
            </w:r>
            <w:r w:rsidR="00604784">
              <w:rPr>
                <w:rFonts w:ascii="Arial" w:hAnsi="Arial" w:cs="Arial"/>
                <w:b/>
                <w:bCs/>
                <w:sz w:val="16"/>
                <w:szCs w:val="16"/>
              </w:rPr>
              <w:t>3</w:t>
            </w:r>
            <w:r w:rsidRPr="00C52166">
              <w:rPr>
                <w:rFonts w:ascii="Arial" w:hAnsi="Arial" w:cs="Arial"/>
                <w:b/>
                <w:bCs/>
                <w:sz w:val="16"/>
                <w:szCs w:val="16"/>
              </w:rPr>
              <w:t>)</w:t>
            </w:r>
          </w:p>
        </w:tc>
        <w:tc>
          <w:tcPr>
            <w:tcW w:w="1985" w:type="dxa"/>
            <w:tcBorders>
              <w:top w:val="single" w:sz="4" w:space="0" w:color="auto"/>
              <w:left w:val="nil"/>
              <w:right w:val="nil"/>
            </w:tcBorders>
            <w:shd w:val="clear" w:color="auto" w:fill="auto"/>
            <w:noWrap/>
            <w:vAlign w:val="center"/>
          </w:tcPr>
          <w:p w14:paraId="33FF589D" w14:textId="43FF6EC7" w:rsidR="00832DC9" w:rsidRPr="00832DC9" w:rsidRDefault="00832DC9" w:rsidP="00832DC9">
            <w:pPr>
              <w:ind w:right="312"/>
              <w:jc w:val="right"/>
              <w:rPr>
                <w:rFonts w:ascii="Arial" w:hAnsi="Arial" w:cs="Arial"/>
                <w:sz w:val="16"/>
                <w:szCs w:val="16"/>
              </w:rPr>
            </w:pPr>
            <w:r w:rsidRPr="00832DC9">
              <w:rPr>
                <w:rFonts w:ascii="Arial" w:hAnsi="Arial" w:cs="Arial"/>
                <w:bCs/>
                <w:sz w:val="16"/>
                <w:szCs w:val="16"/>
              </w:rPr>
              <w:t>(2,7</w:t>
            </w:r>
            <w:r w:rsidR="00CD783C">
              <w:rPr>
                <w:rFonts w:ascii="Arial" w:hAnsi="Arial" w:cs="Arial"/>
                <w:bCs/>
                <w:sz w:val="16"/>
                <w:szCs w:val="16"/>
              </w:rPr>
              <w:t>7</w:t>
            </w:r>
            <w:r w:rsidRPr="00832DC9">
              <w:rPr>
                <w:rFonts w:ascii="Arial" w:hAnsi="Arial" w:cs="Arial"/>
                <w:bCs/>
                <w:sz w:val="16"/>
                <w:szCs w:val="16"/>
              </w:rPr>
              <w:t>8,037)</w:t>
            </w:r>
          </w:p>
        </w:tc>
      </w:tr>
      <w:tr w:rsidR="00832DC9" w:rsidRPr="004B5349" w14:paraId="41DB234F" w14:textId="77777777" w:rsidTr="0032126E">
        <w:trPr>
          <w:trHeight w:val="425"/>
        </w:trPr>
        <w:tc>
          <w:tcPr>
            <w:tcW w:w="5517" w:type="dxa"/>
            <w:tcBorders>
              <w:left w:val="nil"/>
              <w:bottom w:val="single" w:sz="4" w:space="0" w:color="auto"/>
              <w:right w:val="nil"/>
            </w:tcBorders>
            <w:shd w:val="clear" w:color="auto" w:fill="auto"/>
            <w:vAlign w:val="center"/>
            <w:hideMark/>
          </w:tcPr>
          <w:p w14:paraId="5B0592F9" w14:textId="15F5B2AB" w:rsidR="00832DC9" w:rsidRPr="00602DFB" w:rsidRDefault="00832DC9" w:rsidP="00832DC9">
            <w:pPr>
              <w:rPr>
                <w:rFonts w:ascii="Arial" w:hAnsi="Arial" w:cs="Arial"/>
                <w:sz w:val="16"/>
                <w:szCs w:val="16"/>
              </w:rPr>
            </w:pPr>
            <w:r w:rsidRPr="00602DFB">
              <w:rPr>
                <w:rFonts w:ascii="Arial" w:hAnsi="Arial" w:cs="Arial"/>
                <w:b/>
                <w:bCs/>
                <w:sz w:val="16"/>
                <w:szCs w:val="16"/>
              </w:rPr>
              <w:t xml:space="preserve">Basic and diluted profit/ (loss) per share </w:t>
            </w:r>
            <w:r w:rsidRPr="00F137F8">
              <w:rPr>
                <w:rFonts w:ascii="Arial" w:hAnsi="Arial" w:cs="Arial"/>
                <w:i/>
                <w:iCs/>
                <w:sz w:val="16"/>
                <w:szCs w:val="16"/>
              </w:rPr>
              <w:t>[note</w:t>
            </w:r>
            <w:r w:rsidRPr="007A5D60">
              <w:rPr>
                <w:rFonts w:ascii="Arial" w:hAnsi="Arial" w:cs="Arial"/>
                <w:sz w:val="16"/>
                <w:szCs w:val="16"/>
              </w:rPr>
              <w:t xml:space="preserve"> </w:t>
            </w:r>
            <w:r>
              <w:rPr>
                <w:rFonts w:ascii="Arial" w:hAnsi="Arial" w:cs="Arial"/>
                <w:i/>
                <w:iCs/>
                <w:sz w:val="16"/>
                <w:szCs w:val="16"/>
              </w:rPr>
              <w:t>9</w:t>
            </w:r>
            <w:r w:rsidRPr="00F137F8">
              <w:rPr>
                <w:rFonts w:ascii="Arial" w:hAnsi="Arial" w:cs="Arial"/>
                <w:i/>
                <w:iCs/>
                <w:sz w:val="16"/>
                <w:szCs w:val="16"/>
              </w:rPr>
              <w:t>]</w:t>
            </w:r>
          </w:p>
        </w:tc>
        <w:tc>
          <w:tcPr>
            <w:tcW w:w="1843" w:type="dxa"/>
            <w:tcBorders>
              <w:left w:val="nil"/>
              <w:bottom w:val="single" w:sz="4" w:space="0" w:color="auto"/>
              <w:right w:val="nil"/>
            </w:tcBorders>
            <w:shd w:val="clear" w:color="auto" w:fill="auto"/>
            <w:vAlign w:val="center"/>
          </w:tcPr>
          <w:p w14:paraId="25CA5A63" w14:textId="0E289905" w:rsidR="00832DC9" w:rsidRPr="00C52166" w:rsidRDefault="00832DC9" w:rsidP="00832DC9">
            <w:pPr>
              <w:ind w:right="312"/>
              <w:jc w:val="right"/>
              <w:rPr>
                <w:rFonts w:ascii="Arial" w:hAnsi="Arial" w:cs="Arial"/>
                <w:b/>
                <w:bCs/>
                <w:color w:val="000000"/>
                <w:sz w:val="16"/>
                <w:szCs w:val="16"/>
              </w:rPr>
            </w:pPr>
            <w:r w:rsidRPr="00C52166">
              <w:rPr>
                <w:rFonts w:ascii="Arial" w:hAnsi="Arial" w:cs="Arial"/>
                <w:b/>
                <w:bCs/>
                <w:color w:val="000000"/>
                <w:sz w:val="16"/>
                <w:szCs w:val="16"/>
              </w:rPr>
              <w:t>(0.02)</w:t>
            </w:r>
          </w:p>
        </w:tc>
        <w:tc>
          <w:tcPr>
            <w:tcW w:w="1985" w:type="dxa"/>
            <w:tcBorders>
              <w:left w:val="nil"/>
              <w:bottom w:val="single" w:sz="4" w:space="0" w:color="auto"/>
              <w:right w:val="nil"/>
            </w:tcBorders>
            <w:shd w:val="clear" w:color="auto" w:fill="auto"/>
            <w:vAlign w:val="center"/>
          </w:tcPr>
          <w:p w14:paraId="5EFA42A2" w14:textId="7DCBAE2E" w:rsidR="00832DC9" w:rsidRPr="00832DC9" w:rsidRDefault="00832DC9" w:rsidP="00832DC9">
            <w:pPr>
              <w:ind w:right="312"/>
              <w:jc w:val="right"/>
              <w:rPr>
                <w:rFonts w:ascii="Arial" w:hAnsi="Arial" w:cs="Arial"/>
                <w:sz w:val="16"/>
                <w:szCs w:val="16"/>
              </w:rPr>
            </w:pPr>
            <w:r w:rsidRPr="00832DC9">
              <w:rPr>
                <w:rFonts w:ascii="Arial" w:hAnsi="Arial" w:cs="Arial"/>
                <w:bCs/>
                <w:color w:val="000000"/>
                <w:sz w:val="16"/>
                <w:szCs w:val="16"/>
              </w:rPr>
              <w:t>(0.02)</w:t>
            </w:r>
          </w:p>
        </w:tc>
      </w:tr>
      <w:tr w:rsidR="004B5349" w:rsidRPr="00F56223" w14:paraId="542FC54B" w14:textId="77777777" w:rsidTr="004D7BC0">
        <w:trPr>
          <w:trHeight w:val="425"/>
        </w:trPr>
        <w:tc>
          <w:tcPr>
            <w:tcW w:w="9345" w:type="dxa"/>
            <w:gridSpan w:val="3"/>
            <w:tcBorders>
              <w:left w:val="nil"/>
              <w:bottom w:val="nil"/>
              <w:right w:val="nil"/>
            </w:tcBorders>
            <w:shd w:val="clear" w:color="auto" w:fill="auto"/>
            <w:hideMark/>
          </w:tcPr>
          <w:p w14:paraId="0F601F4F" w14:textId="77777777" w:rsidR="009A1E4A" w:rsidRDefault="009A1E4A" w:rsidP="004B5349">
            <w:pPr>
              <w:rPr>
                <w:rFonts w:ascii="Arial" w:hAnsi="Arial" w:cs="Arial"/>
                <w:i/>
                <w:iCs/>
                <w:sz w:val="16"/>
                <w:szCs w:val="16"/>
              </w:rPr>
            </w:pPr>
          </w:p>
          <w:p w14:paraId="580BB51C" w14:textId="39E132A1" w:rsidR="004B5349" w:rsidRPr="00F56223" w:rsidRDefault="004B5349" w:rsidP="004B5349">
            <w:pPr>
              <w:rPr>
                <w:rFonts w:ascii="Arial" w:hAnsi="Arial" w:cs="Arial"/>
                <w:color w:val="000000"/>
                <w:sz w:val="20"/>
                <w:szCs w:val="20"/>
              </w:rPr>
            </w:pPr>
            <w:r w:rsidRPr="00F56223">
              <w:rPr>
                <w:rFonts w:ascii="Arial" w:hAnsi="Arial" w:cs="Arial"/>
                <w:i/>
                <w:iCs/>
                <w:sz w:val="16"/>
                <w:szCs w:val="16"/>
              </w:rPr>
              <w:t>See accompanying notes to the consolidated financial statements</w:t>
            </w:r>
          </w:p>
        </w:tc>
      </w:tr>
    </w:tbl>
    <w:p w14:paraId="0C274FE5" w14:textId="045B1149" w:rsidR="00035B0F" w:rsidRPr="00F56223" w:rsidRDefault="00035B0F" w:rsidP="006956DF">
      <w:pPr>
        <w:ind w:left="-142"/>
        <w:rPr>
          <w:rFonts w:ascii="Arial" w:hAnsi="Arial" w:cs="Arial"/>
          <w:sz w:val="16"/>
        </w:rPr>
        <w:sectPr w:rsidR="00035B0F" w:rsidRPr="00F56223" w:rsidSect="004867D3">
          <w:pgSz w:w="12240" w:h="15840"/>
          <w:pgMar w:top="2223" w:right="799" w:bottom="1661" w:left="1718" w:header="1440" w:footer="1463" w:gutter="0"/>
          <w:cols w:space="720"/>
        </w:sectPr>
      </w:pPr>
    </w:p>
    <w:bookmarkEnd w:id="3"/>
    <w:p w14:paraId="5B30B62B" w14:textId="75F3C0BD" w:rsidR="00035B0F" w:rsidRPr="00F56223" w:rsidRDefault="00035B0F">
      <w:pPr>
        <w:pStyle w:val="BodyText"/>
        <w:rPr>
          <w:rFonts w:ascii="Arial" w:hAnsi="Arial" w:cs="Arial"/>
        </w:rPr>
      </w:pPr>
    </w:p>
    <w:p w14:paraId="76C96F60" w14:textId="5ACC8E77" w:rsidR="00035B0F" w:rsidRPr="00A06592" w:rsidRDefault="005E4909">
      <w:pPr>
        <w:spacing w:before="211"/>
        <w:ind w:left="996" w:right="1194"/>
        <w:jc w:val="center"/>
        <w:rPr>
          <w:rFonts w:ascii="Arial" w:hAnsi="Arial" w:cs="Arial"/>
          <w:b/>
        </w:rPr>
      </w:pPr>
      <w:bookmarkStart w:id="4" w:name="_Hlk41381570"/>
      <w:r w:rsidRPr="00A06592">
        <w:rPr>
          <w:rFonts w:ascii="Arial" w:hAnsi="Arial" w:cs="Arial"/>
          <w:b/>
        </w:rPr>
        <w:t>CONSOLIDATED STATEMENTS OF CASH FLOWS</w:t>
      </w:r>
    </w:p>
    <w:p w14:paraId="79FFE74C" w14:textId="73F90331" w:rsidR="00F75CFF" w:rsidRPr="00F56223" w:rsidRDefault="005E4909" w:rsidP="007705A4">
      <w:pPr>
        <w:spacing w:before="2"/>
        <w:ind w:left="996" w:right="1198"/>
        <w:jc w:val="center"/>
        <w:rPr>
          <w:rFonts w:ascii="Arial" w:hAnsi="Arial" w:cs="Arial"/>
          <w:sz w:val="20"/>
        </w:rPr>
      </w:pPr>
      <w:r w:rsidRPr="00A06592">
        <w:rPr>
          <w:rFonts w:ascii="Arial" w:hAnsi="Arial" w:cs="Arial"/>
          <w:sz w:val="20"/>
        </w:rPr>
        <w:t>(Stated in Canadian Dollars)</w:t>
      </w:r>
    </w:p>
    <w:p w14:paraId="519925F5" w14:textId="77777777" w:rsidR="00035B0F" w:rsidRPr="00F56223" w:rsidRDefault="00035B0F">
      <w:pPr>
        <w:pStyle w:val="BodyText"/>
        <w:spacing w:before="4"/>
        <w:rPr>
          <w:rFonts w:ascii="Arial" w:hAnsi="Arial" w:cs="Arial"/>
          <w:sz w:val="20"/>
        </w:rPr>
      </w:pPr>
    </w:p>
    <w:tbl>
      <w:tblPr>
        <w:tblW w:w="9498" w:type="dxa"/>
        <w:tblLook w:val="04A0" w:firstRow="1" w:lastRow="0" w:firstColumn="1" w:lastColumn="0" w:noHBand="0" w:noVBand="1"/>
      </w:tblPr>
      <w:tblGrid>
        <w:gridCol w:w="5579"/>
        <w:gridCol w:w="2076"/>
        <w:gridCol w:w="1843"/>
      </w:tblGrid>
      <w:tr w:rsidR="00983503" w:rsidRPr="00F56223" w14:paraId="202A00D9" w14:textId="77777777" w:rsidTr="007B2708">
        <w:trPr>
          <w:trHeight w:val="524"/>
        </w:trPr>
        <w:tc>
          <w:tcPr>
            <w:tcW w:w="5579" w:type="dxa"/>
            <w:tcBorders>
              <w:top w:val="nil"/>
              <w:left w:val="nil"/>
              <w:bottom w:val="nil"/>
              <w:right w:val="nil"/>
            </w:tcBorders>
            <w:shd w:val="clear" w:color="auto" w:fill="auto"/>
            <w:hideMark/>
          </w:tcPr>
          <w:p w14:paraId="54F1FD86" w14:textId="77777777" w:rsidR="00983503" w:rsidRPr="00F56223" w:rsidRDefault="00983503" w:rsidP="0076576A">
            <w:pPr>
              <w:rPr>
                <w:rFonts w:ascii="Arial" w:hAnsi="Arial" w:cs="Arial"/>
              </w:rPr>
            </w:pPr>
          </w:p>
        </w:tc>
        <w:tc>
          <w:tcPr>
            <w:tcW w:w="3919" w:type="dxa"/>
            <w:gridSpan w:val="2"/>
            <w:tcBorders>
              <w:top w:val="nil"/>
              <w:left w:val="nil"/>
              <w:bottom w:val="nil"/>
              <w:right w:val="nil"/>
            </w:tcBorders>
            <w:shd w:val="clear" w:color="auto" w:fill="auto"/>
            <w:hideMark/>
          </w:tcPr>
          <w:p w14:paraId="7A5B6B22" w14:textId="6D2F42F8" w:rsidR="00983503" w:rsidRPr="00F56223" w:rsidRDefault="00983503" w:rsidP="005821F7">
            <w:pPr>
              <w:jc w:val="center"/>
              <w:rPr>
                <w:rFonts w:ascii="Arial" w:hAnsi="Arial" w:cs="Arial"/>
                <w:sz w:val="16"/>
                <w:szCs w:val="16"/>
              </w:rPr>
            </w:pPr>
            <w:r>
              <w:rPr>
                <w:rFonts w:ascii="Arial" w:hAnsi="Arial" w:cs="Arial"/>
                <w:sz w:val="16"/>
                <w:szCs w:val="16"/>
              </w:rPr>
              <w:t>For the year</w:t>
            </w:r>
            <w:r w:rsidRPr="00F56223">
              <w:rPr>
                <w:rFonts w:ascii="Arial" w:hAnsi="Arial" w:cs="Arial"/>
                <w:sz w:val="16"/>
                <w:szCs w:val="16"/>
              </w:rPr>
              <w:t xml:space="preserve"> ended </w:t>
            </w:r>
            <w:r>
              <w:rPr>
                <w:rFonts w:ascii="Arial" w:hAnsi="Arial" w:cs="Arial"/>
                <w:sz w:val="16"/>
                <w:szCs w:val="16"/>
              </w:rPr>
              <w:t>December</w:t>
            </w:r>
            <w:r w:rsidRPr="00F56223">
              <w:rPr>
                <w:rFonts w:ascii="Arial" w:hAnsi="Arial" w:cs="Arial"/>
                <w:sz w:val="16"/>
                <w:szCs w:val="16"/>
              </w:rPr>
              <w:t xml:space="preserve"> </w:t>
            </w:r>
            <w:r>
              <w:rPr>
                <w:rFonts w:ascii="Arial" w:hAnsi="Arial" w:cs="Arial"/>
                <w:sz w:val="16"/>
                <w:szCs w:val="16"/>
              </w:rPr>
              <w:t>31</w:t>
            </w:r>
          </w:p>
        </w:tc>
      </w:tr>
      <w:tr w:rsidR="00832DC9" w:rsidRPr="002234CD" w14:paraId="029234F0" w14:textId="77777777" w:rsidTr="007B2708">
        <w:trPr>
          <w:trHeight w:val="344"/>
        </w:trPr>
        <w:tc>
          <w:tcPr>
            <w:tcW w:w="5579" w:type="dxa"/>
            <w:tcBorders>
              <w:top w:val="nil"/>
              <w:left w:val="nil"/>
              <w:bottom w:val="nil"/>
              <w:right w:val="nil"/>
            </w:tcBorders>
            <w:shd w:val="clear" w:color="auto" w:fill="auto"/>
            <w:vAlign w:val="center"/>
            <w:hideMark/>
          </w:tcPr>
          <w:p w14:paraId="066F444D" w14:textId="77777777" w:rsidR="00832DC9" w:rsidRPr="00F56223" w:rsidRDefault="00832DC9" w:rsidP="00832DC9">
            <w:pPr>
              <w:jc w:val="center"/>
              <w:rPr>
                <w:rFonts w:ascii="Arial" w:hAnsi="Arial" w:cs="Arial"/>
                <w:sz w:val="16"/>
                <w:szCs w:val="16"/>
              </w:rPr>
            </w:pPr>
          </w:p>
        </w:tc>
        <w:tc>
          <w:tcPr>
            <w:tcW w:w="2076" w:type="dxa"/>
            <w:tcBorders>
              <w:top w:val="nil"/>
              <w:left w:val="nil"/>
              <w:bottom w:val="nil"/>
              <w:right w:val="nil"/>
            </w:tcBorders>
            <w:shd w:val="clear" w:color="auto" w:fill="auto"/>
            <w:noWrap/>
            <w:hideMark/>
          </w:tcPr>
          <w:p w14:paraId="38000EEB" w14:textId="1116FC6E" w:rsidR="00832DC9" w:rsidRPr="00C52166" w:rsidRDefault="00832DC9" w:rsidP="00832DC9">
            <w:pPr>
              <w:ind w:right="312"/>
              <w:jc w:val="right"/>
              <w:rPr>
                <w:rFonts w:ascii="Arial" w:hAnsi="Arial" w:cs="Arial"/>
                <w:b/>
                <w:bCs/>
                <w:color w:val="000000"/>
                <w:sz w:val="16"/>
                <w:szCs w:val="16"/>
              </w:rPr>
            </w:pPr>
            <w:r w:rsidRPr="00C52166">
              <w:rPr>
                <w:rFonts w:ascii="Arial" w:hAnsi="Arial" w:cs="Arial"/>
                <w:b/>
                <w:bCs/>
                <w:color w:val="000000"/>
                <w:sz w:val="16"/>
                <w:szCs w:val="16"/>
              </w:rPr>
              <w:t>2023</w:t>
            </w:r>
          </w:p>
          <w:p w14:paraId="07262DAA" w14:textId="7549281B" w:rsidR="00832DC9" w:rsidRPr="00C52166" w:rsidRDefault="00832DC9" w:rsidP="00832DC9">
            <w:pPr>
              <w:ind w:right="312"/>
              <w:jc w:val="right"/>
              <w:rPr>
                <w:rFonts w:ascii="Arial" w:hAnsi="Arial" w:cs="Arial"/>
                <w:b/>
                <w:bCs/>
                <w:color w:val="000000"/>
                <w:sz w:val="16"/>
                <w:szCs w:val="16"/>
              </w:rPr>
            </w:pPr>
            <w:r w:rsidRPr="00C52166">
              <w:rPr>
                <w:rFonts w:ascii="Arial" w:hAnsi="Arial" w:cs="Arial"/>
                <w:b/>
                <w:bCs/>
                <w:color w:val="000000"/>
                <w:sz w:val="16"/>
                <w:szCs w:val="16"/>
              </w:rPr>
              <w:t>$</w:t>
            </w:r>
          </w:p>
        </w:tc>
        <w:tc>
          <w:tcPr>
            <w:tcW w:w="1843" w:type="dxa"/>
            <w:tcBorders>
              <w:top w:val="nil"/>
              <w:left w:val="nil"/>
              <w:bottom w:val="nil"/>
              <w:right w:val="nil"/>
            </w:tcBorders>
            <w:shd w:val="clear" w:color="auto" w:fill="auto"/>
            <w:noWrap/>
            <w:hideMark/>
          </w:tcPr>
          <w:p w14:paraId="78162540" w14:textId="77777777" w:rsidR="00832DC9" w:rsidRPr="002234CD" w:rsidRDefault="00832DC9" w:rsidP="00832DC9">
            <w:pPr>
              <w:ind w:right="312"/>
              <w:jc w:val="right"/>
              <w:rPr>
                <w:rFonts w:ascii="Arial" w:hAnsi="Arial" w:cs="Arial"/>
                <w:b/>
                <w:bCs/>
                <w:color w:val="000000"/>
                <w:sz w:val="16"/>
                <w:szCs w:val="16"/>
              </w:rPr>
            </w:pPr>
            <w:r w:rsidRPr="002234CD">
              <w:rPr>
                <w:rFonts w:ascii="Arial" w:hAnsi="Arial" w:cs="Arial"/>
                <w:b/>
                <w:bCs/>
                <w:color w:val="000000"/>
                <w:sz w:val="16"/>
                <w:szCs w:val="16"/>
              </w:rPr>
              <w:t>2022</w:t>
            </w:r>
          </w:p>
          <w:p w14:paraId="5EB28B2D" w14:textId="049FFFC4" w:rsidR="00832DC9" w:rsidRPr="002234CD" w:rsidRDefault="00832DC9" w:rsidP="00832DC9">
            <w:pPr>
              <w:ind w:right="312"/>
              <w:jc w:val="right"/>
              <w:rPr>
                <w:rFonts w:ascii="Arial" w:hAnsi="Arial" w:cs="Arial"/>
                <w:bCs/>
                <w:color w:val="000000"/>
                <w:sz w:val="16"/>
                <w:szCs w:val="16"/>
              </w:rPr>
            </w:pPr>
            <w:r w:rsidRPr="002234CD">
              <w:rPr>
                <w:rFonts w:ascii="Arial" w:hAnsi="Arial" w:cs="Arial"/>
                <w:b/>
                <w:bCs/>
                <w:color w:val="000000"/>
                <w:sz w:val="16"/>
                <w:szCs w:val="16"/>
              </w:rPr>
              <w:t>$</w:t>
            </w:r>
          </w:p>
        </w:tc>
      </w:tr>
      <w:tr w:rsidR="00832DC9" w:rsidRPr="002234CD" w14:paraId="3E93575F" w14:textId="77777777" w:rsidTr="007B2708">
        <w:trPr>
          <w:trHeight w:val="224"/>
        </w:trPr>
        <w:tc>
          <w:tcPr>
            <w:tcW w:w="5579" w:type="dxa"/>
            <w:tcBorders>
              <w:top w:val="nil"/>
              <w:left w:val="nil"/>
              <w:bottom w:val="single" w:sz="4" w:space="0" w:color="000000"/>
              <w:right w:val="nil"/>
            </w:tcBorders>
            <w:shd w:val="clear" w:color="auto" w:fill="auto"/>
            <w:vAlign w:val="bottom"/>
            <w:hideMark/>
          </w:tcPr>
          <w:p w14:paraId="3E058AC4" w14:textId="77777777" w:rsidR="00832DC9" w:rsidRPr="002234CD" w:rsidRDefault="00832DC9" w:rsidP="00832DC9">
            <w:pPr>
              <w:rPr>
                <w:rFonts w:ascii="Arial" w:hAnsi="Arial" w:cs="Arial"/>
                <w:color w:val="000000"/>
                <w:sz w:val="20"/>
                <w:szCs w:val="20"/>
              </w:rPr>
            </w:pPr>
            <w:r w:rsidRPr="002234CD">
              <w:rPr>
                <w:rFonts w:ascii="Arial" w:hAnsi="Arial" w:cs="Arial"/>
                <w:color w:val="000000"/>
                <w:sz w:val="20"/>
                <w:szCs w:val="20"/>
              </w:rPr>
              <w:t> </w:t>
            </w:r>
          </w:p>
        </w:tc>
        <w:tc>
          <w:tcPr>
            <w:tcW w:w="2076" w:type="dxa"/>
            <w:tcBorders>
              <w:top w:val="nil"/>
              <w:left w:val="nil"/>
              <w:bottom w:val="single" w:sz="4" w:space="0" w:color="000000"/>
              <w:right w:val="nil"/>
            </w:tcBorders>
            <w:shd w:val="clear" w:color="auto" w:fill="auto"/>
            <w:hideMark/>
          </w:tcPr>
          <w:p w14:paraId="49CE02AC" w14:textId="0DAAF7FF" w:rsidR="00832DC9" w:rsidRPr="00C52166" w:rsidRDefault="00832DC9" w:rsidP="00832DC9">
            <w:pPr>
              <w:ind w:right="312"/>
              <w:jc w:val="right"/>
              <w:rPr>
                <w:rFonts w:ascii="Arial" w:hAnsi="Arial" w:cs="Arial"/>
                <w:b/>
                <w:bCs/>
                <w:sz w:val="16"/>
                <w:szCs w:val="16"/>
              </w:rPr>
            </w:pPr>
          </w:p>
        </w:tc>
        <w:tc>
          <w:tcPr>
            <w:tcW w:w="1843" w:type="dxa"/>
            <w:tcBorders>
              <w:top w:val="nil"/>
              <w:left w:val="nil"/>
              <w:bottom w:val="single" w:sz="4" w:space="0" w:color="000000"/>
              <w:right w:val="nil"/>
            </w:tcBorders>
            <w:shd w:val="clear" w:color="auto" w:fill="auto"/>
            <w:hideMark/>
          </w:tcPr>
          <w:p w14:paraId="7F496ACE" w14:textId="72F8AD47" w:rsidR="00832DC9" w:rsidRPr="002234CD" w:rsidRDefault="00832DC9" w:rsidP="00832DC9">
            <w:pPr>
              <w:ind w:right="312"/>
              <w:jc w:val="right"/>
              <w:rPr>
                <w:rFonts w:ascii="Arial" w:hAnsi="Arial" w:cs="Arial"/>
                <w:bCs/>
                <w:sz w:val="16"/>
                <w:szCs w:val="16"/>
              </w:rPr>
            </w:pPr>
          </w:p>
        </w:tc>
      </w:tr>
      <w:tr w:rsidR="00832DC9" w:rsidRPr="002234CD" w14:paraId="7499541B" w14:textId="77777777" w:rsidTr="007B2708">
        <w:trPr>
          <w:trHeight w:val="419"/>
        </w:trPr>
        <w:tc>
          <w:tcPr>
            <w:tcW w:w="5579" w:type="dxa"/>
            <w:tcBorders>
              <w:top w:val="nil"/>
              <w:left w:val="nil"/>
              <w:bottom w:val="nil"/>
              <w:right w:val="nil"/>
            </w:tcBorders>
            <w:shd w:val="clear" w:color="auto" w:fill="auto"/>
            <w:vAlign w:val="center"/>
            <w:hideMark/>
          </w:tcPr>
          <w:p w14:paraId="358BBF23" w14:textId="77777777" w:rsidR="00832DC9" w:rsidRPr="002234CD" w:rsidRDefault="00832DC9" w:rsidP="00832DC9">
            <w:pPr>
              <w:rPr>
                <w:rFonts w:ascii="Arial" w:hAnsi="Arial" w:cs="Arial"/>
                <w:b/>
                <w:bCs/>
                <w:sz w:val="16"/>
                <w:szCs w:val="16"/>
              </w:rPr>
            </w:pPr>
            <w:r w:rsidRPr="002234CD">
              <w:rPr>
                <w:rFonts w:ascii="Arial" w:hAnsi="Arial" w:cs="Arial"/>
                <w:b/>
                <w:bCs/>
                <w:sz w:val="16"/>
                <w:szCs w:val="16"/>
              </w:rPr>
              <w:t>OPERATING ACTIVITIES</w:t>
            </w:r>
          </w:p>
        </w:tc>
        <w:tc>
          <w:tcPr>
            <w:tcW w:w="2076" w:type="dxa"/>
            <w:tcBorders>
              <w:top w:val="nil"/>
              <w:left w:val="nil"/>
              <w:bottom w:val="nil"/>
              <w:right w:val="nil"/>
            </w:tcBorders>
            <w:shd w:val="clear" w:color="auto" w:fill="auto"/>
            <w:hideMark/>
          </w:tcPr>
          <w:p w14:paraId="487DA7AB" w14:textId="17ED0BF2" w:rsidR="00832DC9" w:rsidRPr="00C52166" w:rsidRDefault="00832DC9" w:rsidP="00832DC9">
            <w:pPr>
              <w:rPr>
                <w:rFonts w:ascii="Arial" w:hAnsi="Arial" w:cs="Arial"/>
                <w:b/>
                <w:bCs/>
                <w:sz w:val="16"/>
                <w:szCs w:val="16"/>
              </w:rPr>
            </w:pPr>
            <w:r w:rsidRPr="00C52166">
              <w:rPr>
                <w:rFonts w:ascii="Arial" w:hAnsi="Arial" w:cs="Arial"/>
                <w:b/>
                <w:bCs/>
                <w:sz w:val="16"/>
                <w:szCs w:val="16"/>
              </w:rPr>
              <w:t> </w:t>
            </w:r>
          </w:p>
        </w:tc>
        <w:tc>
          <w:tcPr>
            <w:tcW w:w="1843" w:type="dxa"/>
            <w:tcBorders>
              <w:top w:val="nil"/>
              <w:left w:val="nil"/>
              <w:bottom w:val="nil"/>
              <w:right w:val="nil"/>
            </w:tcBorders>
            <w:shd w:val="clear" w:color="auto" w:fill="auto"/>
            <w:hideMark/>
          </w:tcPr>
          <w:p w14:paraId="17961B13" w14:textId="385FB882" w:rsidR="00832DC9" w:rsidRPr="002234CD" w:rsidRDefault="00832DC9" w:rsidP="00832DC9">
            <w:pPr>
              <w:jc w:val="center"/>
              <w:rPr>
                <w:rFonts w:ascii="Arial" w:hAnsi="Arial" w:cs="Arial"/>
                <w:color w:val="000000"/>
                <w:sz w:val="20"/>
                <w:szCs w:val="20"/>
              </w:rPr>
            </w:pPr>
            <w:r w:rsidRPr="002234CD">
              <w:rPr>
                <w:rFonts w:ascii="Arial" w:hAnsi="Arial" w:cs="Arial"/>
                <w:b/>
                <w:bCs/>
                <w:sz w:val="16"/>
                <w:szCs w:val="16"/>
              </w:rPr>
              <w:t> </w:t>
            </w:r>
          </w:p>
        </w:tc>
      </w:tr>
      <w:tr w:rsidR="00832DC9" w:rsidRPr="002234CD" w14:paraId="5234CD1B" w14:textId="77777777" w:rsidTr="007B2708">
        <w:trPr>
          <w:trHeight w:val="86"/>
        </w:trPr>
        <w:tc>
          <w:tcPr>
            <w:tcW w:w="5579" w:type="dxa"/>
            <w:tcBorders>
              <w:top w:val="nil"/>
              <w:left w:val="nil"/>
              <w:bottom w:val="nil"/>
              <w:right w:val="nil"/>
            </w:tcBorders>
            <w:shd w:val="clear" w:color="auto" w:fill="auto"/>
            <w:vAlign w:val="bottom"/>
            <w:hideMark/>
          </w:tcPr>
          <w:p w14:paraId="393C9675" w14:textId="3AA6C826" w:rsidR="00832DC9" w:rsidRPr="002234CD" w:rsidRDefault="00832DC9" w:rsidP="00832DC9">
            <w:pPr>
              <w:rPr>
                <w:rFonts w:ascii="Arial" w:hAnsi="Arial" w:cs="Arial"/>
                <w:sz w:val="16"/>
                <w:szCs w:val="16"/>
              </w:rPr>
            </w:pPr>
            <w:r w:rsidRPr="002234CD">
              <w:rPr>
                <w:rFonts w:ascii="Arial" w:hAnsi="Arial" w:cs="Arial"/>
                <w:sz w:val="16"/>
                <w:szCs w:val="16"/>
              </w:rPr>
              <w:t>Loss for the year</w:t>
            </w:r>
          </w:p>
        </w:tc>
        <w:tc>
          <w:tcPr>
            <w:tcW w:w="2076" w:type="dxa"/>
            <w:tcBorders>
              <w:top w:val="nil"/>
              <w:left w:val="nil"/>
              <w:bottom w:val="nil"/>
              <w:right w:val="nil"/>
            </w:tcBorders>
            <w:shd w:val="clear" w:color="auto" w:fill="auto"/>
            <w:vAlign w:val="bottom"/>
          </w:tcPr>
          <w:p w14:paraId="2540BEFD" w14:textId="781849AA" w:rsidR="00832DC9" w:rsidRPr="00C52166" w:rsidRDefault="00832DC9" w:rsidP="00832DC9">
            <w:pPr>
              <w:adjustRightInd w:val="0"/>
              <w:ind w:right="312"/>
              <w:jc w:val="right"/>
              <w:rPr>
                <w:rFonts w:ascii="Arial" w:hAnsi="Arial" w:cs="Arial"/>
                <w:b/>
                <w:sz w:val="16"/>
                <w:szCs w:val="16"/>
              </w:rPr>
            </w:pPr>
            <w:r w:rsidRPr="00C52166">
              <w:rPr>
                <w:rFonts w:ascii="Arial" w:hAnsi="Arial" w:cs="Arial"/>
                <w:b/>
                <w:sz w:val="16"/>
                <w:szCs w:val="16"/>
              </w:rPr>
              <w:t>(2,</w:t>
            </w:r>
            <w:r w:rsidR="000836D1">
              <w:rPr>
                <w:rFonts w:ascii="Arial" w:hAnsi="Arial" w:cs="Arial"/>
                <w:b/>
                <w:sz w:val="16"/>
                <w:szCs w:val="16"/>
              </w:rPr>
              <w:t>80</w:t>
            </w:r>
            <w:r w:rsidR="00014A8C">
              <w:rPr>
                <w:rFonts w:ascii="Arial" w:hAnsi="Arial" w:cs="Arial"/>
                <w:b/>
                <w:sz w:val="16"/>
                <w:szCs w:val="16"/>
              </w:rPr>
              <w:t>6,20</w:t>
            </w:r>
            <w:r w:rsidR="00AD76E4">
              <w:rPr>
                <w:rFonts w:ascii="Arial" w:hAnsi="Arial" w:cs="Arial"/>
                <w:b/>
                <w:sz w:val="16"/>
                <w:szCs w:val="16"/>
              </w:rPr>
              <w:t>4</w:t>
            </w:r>
            <w:r w:rsidRPr="00C52166">
              <w:rPr>
                <w:rFonts w:ascii="Arial" w:hAnsi="Arial" w:cs="Arial"/>
                <w:b/>
                <w:sz w:val="16"/>
                <w:szCs w:val="16"/>
              </w:rPr>
              <w:t>)</w:t>
            </w:r>
          </w:p>
        </w:tc>
        <w:tc>
          <w:tcPr>
            <w:tcW w:w="1843" w:type="dxa"/>
            <w:tcBorders>
              <w:top w:val="nil"/>
              <w:left w:val="nil"/>
              <w:bottom w:val="nil"/>
              <w:right w:val="nil"/>
            </w:tcBorders>
            <w:shd w:val="clear" w:color="auto" w:fill="auto"/>
            <w:noWrap/>
            <w:vAlign w:val="bottom"/>
            <w:hideMark/>
          </w:tcPr>
          <w:p w14:paraId="3FEBC015" w14:textId="5DF2CD1F" w:rsidR="00832DC9" w:rsidRPr="00832DC9" w:rsidRDefault="00832DC9" w:rsidP="00832DC9">
            <w:pPr>
              <w:adjustRightInd w:val="0"/>
              <w:ind w:right="312"/>
              <w:jc w:val="right"/>
              <w:rPr>
                <w:rFonts w:ascii="Arial" w:hAnsi="Arial" w:cs="Arial"/>
                <w:color w:val="000000"/>
                <w:sz w:val="16"/>
                <w:szCs w:val="16"/>
              </w:rPr>
            </w:pPr>
            <w:r w:rsidRPr="00832DC9">
              <w:rPr>
                <w:rFonts w:ascii="Arial" w:hAnsi="Arial" w:cs="Arial"/>
                <w:sz w:val="16"/>
                <w:szCs w:val="16"/>
              </w:rPr>
              <w:t>(2,6</w:t>
            </w:r>
            <w:r w:rsidR="00CD783C">
              <w:rPr>
                <w:rFonts w:ascii="Arial" w:hAnsi="Arial" w:cs="Arial"/>
                <w:sz w:val="16"/>
                <w:szCs w:val="16"/>
              </w:rPr>
              <w:t>8</w:t>
            </w:r>
            <w:r w:rsidRPr="00832DC9">
              <w:rPr>
                <w:rFonts w:ascii="Arial" w:hAnsi="Arial" w:cs="Arial"/>
                <w:sz w:val="16"/>
                <w:szCs w:val="16"/>
              </w:rPr>
              <w:t>7,34</w:t>
            </w:r>
            <w:r w:rsidR="00CD783C">
              <w:rPr>
                <w:rFonts w:ascii="Arial" w:hAnsi="Arial" w:cs="Arial"/>
                <w:sz w:val="16"/>
                <w:szCs w:val="16"/>
              </w:rPr>
              <w:t>0</w:t>
            </w:r>
            <w:r w:rsidRPr="00832DC9">
              <w:rPr>
                <w:rFonts w:ascii="Arial" w:hAnsi="Arial" w:cs="Arial"/>
                <w:sz w:val="16"/>
                <w:szCs w:val="16"/>
              </w:rPr>
              <w:t>)</w:t>
            </w:r>
          </w:p>
        </w:tc>
      </w:tr>
      <w:tr w:rsidR="00832DC9" w:rsidRPr="002234CD" w14:paraId="2D7B13CD" w14:textId="77777777" w:rsidTr="007B2708">
        <w:trPr>
          <w:trHeight w:val="224"/>
        </w:trPr>
        <w:tc>
          <w:tcPr>
            <w:tcW w:w="5579" w:type="dxa"/>
            <w:tcBorders>
              <w:top w:val="nil"/>
              <w:left w:val="nil"/>
              <w:bottom w:val="nil"/>
              <w:right w:val="nil"/>
            </w:tcBorders>
            <w:shd w:val="clear" w:color="auto" w:fill="auto"/>
            <w:vAlign w:val="bottom"/>
            <w:hideMark/>
          </w:tcPr>
          <w:p w14:paraId="255DE48D" w14:textId="77777777" w:rsidR="00832DC9" w:rsidRPr="002234CD" w:rsidRDefault="00832DC9" w:rsidP="00832DC9">
            <w:pPr>
              <w:rPr>
                <w:rFonts w:ascii="Arial" w:hAnsi="Arial" w:cs="Arial"/>
                <w:sz w:val="16"/>
                <w:szCs w:val="16"/>
              </w:rPr>
            </w:pPr>
            <w:r w:rsidRPr="002234CD">
              <w:rPr>
                <w:rFonts w:ascii="Arial" w:hAnsi="Arial" w:cs="Arial"/>
                <w:sz w:val="16"/>
                <w:szCs w:val="16"/>
              </w:rPr>
              <w:t>Depreciation</w:t>
            </w:r>
          </w:p>
        </w:tc>
        <w:tc>
          <w:tcPr>
            <w:tcW w:w="2076" w:type="dxa"/>
            <w:tcBorders>
              <w:top w:val="nil"/>
              <w:left w:val="nil"/>
              <w:bottom w:val="nil"/>
              <w:right w:val="nil"/>
            </w:tcBorders>
            <w:shd w:val="clear" w:color="auto" w:fill="auto"/>
            <w:vAlign w:val="bottom"/>
          </w:tcPr>
          <w:p w14:paraId="3A55C564" w14:textId="0A9358E1" w:rsidR="00832DC9" w:rsidRPr="00C52166" w:rsidRDefault="00832DC9" w:rsidP="00832DC9">
            <w:pPr>
              <w:adjustRightInd w:val="0"/>
              <w:ind w:right="312"/>
              <w:jc w:val="right"/>
              <w:rPr>
                <w:rFonts w:ascii="Arial" w:hAnsi="Arial" w:cs="Arial"/>
                <w:b/>
                <w:sz w:val="16"/>
                <w:szCs w:val="16"/>
              </w:rPr>
            </w:pPr>
            <w:r w:rsidRPr="00C52166">
              <w:rPr>
                <w:rFonts w:ascii="Arial" w:hAnsi="Arial" w:cs="Arial"/>
                <w:b/>
                <w:sz w:val="16"/>
                <w:szCs w:val="16"/>
              </w:rPr>
              <w:t>1</w:t>
            </w:r>
            <w:r w:rsidR="000E5C4C" w:rsidRPr="00C52166">
              <w:rPr>
                <w:rFonts w:ascii="Arial" w:hAnsi="Arial" w:cs="Arial"/>
                <w:b/>
                <w:sz w:val="16"/>
                <w:szCs w:val="16"/>
              </w:rPr>
              <w:t>44</w:t>
            </w:r>
          </w:p>
        </w:tc>
        <w:tc>
          <w:tcPr>
            <w:tcW w:w="1843" w:type="dxa"/>
            <w:tcBorders>
              <w:top w:val="nil"/>
              <w:left w:val="nil"/>
              <w:bottom w:val="nil"/>
              <w:right w:val="nil"/>
            </w:tcBorders>
            <w:shd w:val="clear" w:color="auto" w:fill="auto"/>
            <w:noWrap/>
            <w:vAlign w:val="bottom"/>
            <w:hideMark/>
          </w:tcPr>
          <w:p w14:paraId="07825171" w14:textId="7D954CA2" w:rsidR="00832DC9" w:rsidRPr="00832DC9" w:rsidRDefault="00832DC9" w:rsidP="00832DC9">
            <w:pPr>
              <w:adjustRightInd w:val="0"/>
              <w:ind w:right="312"/>
              <w:jc w:val="right"/>
              <w:rPr>
                <w:rFonts w:ascii="Arial" w:hAnsi="Arial" w:cs="Arial"/>
                <w:color w:val="000000"/>
                <w:sz w:val="16"/>
                <w:szCs w:val="16"/>
              </w:rPr>
            </w:pPr>
            <w:r w:rsidRPr="00832DC9">
              <w:rPr>
                <w:rFonts w:ascii="Arial" w:hAnsi="Arial" w:cs="Arial"/>
                <w:sz w:val="16"/>
                <w:szCs w:val="16"/>
              </w:rPr>
              <w:t>195</w:t>
            </w:r>
          </w:p>
        </w:tc>
      </w:tr>
      <w:tr w:rsidR="00832DC9" w:rsidRPr="002234CD" w14:paraId="2637053C" w14:textId="77777777" w:rsidTr="00143FB7">
        <w:trPr>
          <w:trHeight w:val="224"/>
        </w:trPr>
        <w:tc>
          <w:tcPr>
            <w:tcW w:w="5579" w:type="dxa"/>
            <w:tcBorders>
              <w:top w:val="nil"/>
              <w:left w:val="nil"/>
              <w:right w:val="nil"/>
            </w:tcBorders>
            <w:shd w:val="clear" w:color="auto" w:fill="auto"/>
            <w:vAlign w:val="bottom"/>
            <w:hideMark/>
          </w:tcPr>
          <w:p w14:paraId="65B35857" w14:textId="2E90C227" w:rsidR="00832DC9" w:rsidRPr="002234CD" w:rsidRDefault="00832DC9" w:rsidP="00832DC9">
            <w:pPr>
              <w:rPr>
                <w:rFonts w:ascii="Arial" w:hAnsi="Arial" w:cs="Arial"/>
                <w:sz w:val="16"/>
                <w:szCs w:val="16"/>
              </w:rPr>
            </w:pPr>
            <w:r w:rsidRPr="002234CD">
              <w:rPr>
                <w:rFonts w:ascii="Arial" w:hAnsi="Arial" w:cs="Arial"/>
                <w:sz w:val="16"/>
                <w:szCs w:val="16"/>
              </w:rPr>
              <w:t>Share based payments</w:t>
            </w:r>
          </w:p>
        </w:tc>
        <w:tc>
          <w:tcPr>
            <w:tcW w:w="2076" w:type="dxa"/>
            <w:tcBorders>
              <w:top w:val="nil"/>
              <w:left w:val="nil"/>
              <w:right w:val="nil"/>
            </w:tcBorders>
            <w:shd w:val="clear" w:color="auto" w:fill="auto"/>
            <w:vAlign w:val="bottom"/>
          </w:tcPr>
          <w:p w14:paraId="1B3B40F3" w14:textId="507D5384" w:rsidR="00832DC9" w:rsidRPr="00C52166" w:rsidRDefault="000E5C4C" w:rsidP="00832DC9">
            <w:pPr>
              <w:adjustRightInd w:val="0"/>
              <w:ind w:right="312"/>
              <w:jc w:val="right"/>
              <w:rPr>
                <w:rFonts w:ascii="Arial" w:hAnsi="Arial" w:cs="Arial"/>
                <w:b/>
                <w:color w:val="000000"/>
                <w:sz w:val="16"/>
                <w:szCs w:val="16"/>
              </w:rPr>
            </w:pPr>
            <w:r w:rsidRPr="00C52166">
              <w:rPr>
                <w:rFonts w:ascii="Arial" w:hAnsi="Arial" w:cs="Arial"/>
                <w:b/>
                <w:color w:val="000000"/>
                <w:sz w:val="16"/>
                <w:szCs w:val="16"/>
              </w:rPr>
              <w:t>338</w:t>
            </w:r>
            <w:r w:rsidR="00832DC9" w:rsidRPr="00C52166">
              <w:rPr>
                <w:rFonts w:ascii="Arial" w:hAnsi="Arial" w:cs="Arial"/>
                <w:b/>
                <w:color w:val="000000"/>
                <w:sz w:val="16"/>
                <w:szCs w:val="16"/>
              </w:rPr>
              <w:t>,</w:t>
            </w:r>
            <w:r w:rsidR="00035E48">
              <w:rPr>
                <w:rFonts w:ascii="Arial" w:hAnsi="Arial" w:cs="Arial"/>
                <w:b/>
                <w:color w:val="000000"/>
                <w:sz w:val="16"/>
                <w:szCs w:val="16"/>
              </w:rPr>
              <w:t>42</w:t>
            </w:r>
            <w:r w:rsidR="00014A8C">
              <w:rPr>
                <w:rFonts w:ascii="Arial" w:hAnsi="Arial" w:cs="Arial"/>
                <w:b/>
                <w:color w:val="000000"/>
                <w:sz w:val="16"/>
                <w:szCs w:val="16"/>
              </w:rPr>
              <w:t>8</w:t>
            </w:r>
          </w:p>
        </w:tc>
        <w:tc>
          <w:tcPr>
            <w:tcW w:w="1843" w:type="dxa"/>
            <w:tcBorders>
              <w:top w:val="nil"/>
              <w:left w:val="nil"/>
              <w:right w:val="nil"/>
            </w:tcBorders>
            <w:shd w:val="clear" w:color="auto" w:fill="auto"/>
            <w:noWrap/>
            <w:vAlign w:val="bottom"/>
            <w:hideMark/>
          </w:tcPr>
          <w:p w14:paraId="4B375EA7" w14:textId="0963EBCC" w:rsidR="00832DC9" w:rsidRPr="00832DC9" w:rsidRDefault="00832DC9" w:rsidP="00832DC9">
            <w:pPr>
              <w:adjustRightInd w:val="0"/>
              <w:ind w:right="312"/>
              <w:jc w:val="right"/>
              <w:rPr>
                <w:rFonts w:ascii="Arial" w:hAnsi="Arial" w:cs="Arial"/>
                <w:color w:val="000000"/>
                <w:sz w:val="16"/>
                <w:szCs w:val="16"/>
              </w:rPr>
            </w:pPr>
            <w:r w:rsidRPr="00832DC9">
              <w:rPr>
                <w:rFonts w:ascii="Arial" w:hAnsi="Arial" w:cs="Arial"/>
                <w:color w:val="000000"/>
                <w:sz w:val="16"/>
                <w:szCs w:val="16"/>
              </w:rPr>
              <w:t>405,849</w:t>
            </w:r>
          </w:p>
        </w:tc>
      </w:tr>
      <w:tr w:rsidR="00832DC9" w:rsidRPr="002234CD" w14:paraId="71FBAFF7" w14:textId="77777777" w:rsidTr="007B2708">
        <w:trPr>
          <w:trHeight w:val="224"/>
        </w:trPr>
        <w:tc>
          <w:tcPr>
            <w:tcW w:w="5579" w:type="dxa"/>
            <w:tcBorders>
              <w:top w:val="nil"/>
              <w:left w:val="nil"/>
              <w:bottom w:val="nil"/>
              <w:right w:val="nil"/>
            </w:tcBorders>
            <w:shd w:val="clear" w:color="auto" w:fill="auto"/>
            <w:vAlign w:val="bottom"/>
            <w:hideMark/>
          </w:tcPr>
          <w:p w14:paraId="70FCF130" w14:textId="4667E575" w:rsidR="00832DC9" w:rsidRPr="002234CD" w:rsidRDefault="00832DC9" w:rsidP="00832DC9">
            <w:pPr>
              <w:rPr>
                <w:rFonts w:ascii="Arial" w:hAnsi="Arial" w:cs="Arial"/>
                <w:b/>
                <w:bCs/>
                <w:sz w:val="16"/>
                <w:szCs w:val="16"/>
              </w:rPr>
            </w:pPr>
            <w:r w:rsidRPr="002234CD">
              <w:rPr>
                <w:rFonts w:ascii="Arial" w:hAnsi="Arial" w:cs="Arial"/>
                <w:b/>
                <w:bCs/>
                <w:sz w:val="16"/>
                <w:szCs w:val="16"/>
              </w:rPr>
              <w:t>Changes in non-cash working capital related to operations</w:t>
            </w:r>
          </w:p>
        </w:tc>
        <w:tc>
          <w:tcPr>
            <w:tcW w:w="2076" w:type="dxa"/>
            <w:tcBorders>
              <w:top w:val="nil"/>
              <w:left w:val="nil"/>
              <w:bottom w:val="nil"/>
              <w:right w:val="nil"/>
            </w:tcBorders>
            <w:shd w:val="clear" w:color="auto" w:fill="auto"/>
            <w:vAlign w:val="bottom"/>
          </w:tcPr>
          <w:p w14:paraId="5C917C59" w14:textId="0CAD12BF" w:rsidR="00832DC9" w:rsidRPr="00C52166" w:rsidRDefault="00832DC9" w:rsidP="00832DC9">
            <w:pPr>
              <w:adjustRightInd w:val="0"/>
              <w:ind w:right="312"/>
              <w:jc w:val="right"/>
              <w:rPr>
                <w:rFonts w:ascii="Arial" w:hAnsi="Arial" w:cs="Arial"/>
                <w:b/>
                <w:sz w:val="20"/>
                <w:szCs w:val="20"/>
              </w:rPr>
            </w:pPr>
          </w:p>
        </w:tc>
        <w:tc>
          <w:tcPr>
            <w:tcW w:w="1843" w:type="dxa"/>
            <w:tcBorders>
              <w:top w:val="nil"/>
              <w:left w:val="nil"/>
              <w:bottom w:val="nil"/>
              <w:right w:val="nil"/>
            </w:tcBorders>
            <w:shd w:val="clear" w:color="auto" w:fill="auto"/>
            <w:vAlign w:val="bottom"/>
            <w:hideMark/>
          </w:tcPr>
          <w:p w14:paraId="545C3F78" w14:textId="66B4E40E" w:rsidR="00832DC9" w:rsidRPr="00832DC9" w:rsidRDefault="00832DC9" w:rsidP="00832DC9">
            <w:pPr>
              <w:adjustRightInd w:val="0"/>
              <w:ind w:right="312"/>
              <w:jc w:val="right"/>
              <w:rPr>
                <w:rFonts w:ascii="Arial" w:hAnsi="Arial" w:cs="Arial"/>
                <w:sz w:val="20"/>
                <w:szCs w:val="20"/>
              </w:rPr>
            </w:pPr>
          </w:p>
        </w:tc>
      </w:tr>
      <w:tr w:rsidR="00832DC9" w:rsidRPr="002234CD" w14:paraId="1FDFE4F9" w14:textId="77777777" w:rsidTr="007B2708">
        <w:trPr>
          <w:trHeight w:val="224"/>
        </w:trPr>
        <w:tc>
          <w:tcPr>
            <w:tcW w:w="5579" w:type="dxa"/>
            <w:tcBorders>
              <w:top w:val="nil"/>
              <w:left w:val="nil"/>
              <w:bottom w:val="nil"/>
              <w:right w:val="nil"/>
            </w:tcBorders>
            <w:shd w:val="clear" w:color="auto" w:fill="auto"/>
            <w:vAlign w:val="bottom"/>
            <w:hideMark/>
          </w:tcPr>
          <w:p w14:paraId="74C1E7FF" w14:textId="33AEA72D" w:rsidR="00832DC9" w:rsidRPr="002234CD" w:rsidRDefault="00832DC9" w:rsidP="00832DC9">
            <w:pPr>
              <w:rPr>
                <w:rFonts w:ascii="Arial" w:hAnsi="Arial" w:cs="Arial"/>
                <w:sz w:val="16"/>
                <w:szCs w:val="16"/>
              </w:rPr>
            </w:pPr>
            <w:r w:rsidRPr="002234CD">
              <w:rPr>
                <w:rFonts w:ascii="Arial" w:hAnsi="Arial" w:cs="Arial"/>
                <w:sz w:val="16"/>
                <w:szCs w:val="16"/>
              </w:rPr>
              <w:t>Accounts receivable</w:t>
            </w:r>
          </w:p>
        </w:tc>
        <w:tc>
          <w:tcPr>
            <w:tcW w:w="2076" w:type="dxa"/>
            <w:tcBorders>
              <w:top w:val="nil"/>
              <w:left w:val="nil"/>
              <w:bottom w:val="nil"/>
              <w:right w:val="nil"/>
            </w:tcBorders>
            <w:shd w:val="clear" w:color="auto" w:fill="auto"/>
            <w:vAlign w:val="bottom"/>
          </w:tcPr>
          <w:p w14:paraId="7AF42C5F" w14:textId="0A919DF7" w:rsidR="00832DC9" w:rsidRPr="00C52166" w:rsidRDefault="000E5C4C" w:rsidP="00832DC9">
            <w:pPr>
              <w:adjustRightInd w:val="0"/>
              <w:ind w:right="312"/>
              <w:jc w:val="right"/>
              <w:rPr>
                <w:rFonts w:ascii="Arial" w:hAnsi="Arial" w:cs="Arial"/>
                <w:b/>
                <w:sz w:val="16"/>
                <w:szCs w:val="16"/>
              </w:rPr>
            </w:pPr>
            <w:r w:rsidRPr="00C52166">
              <w:rPr>
                <w:rFonts w:ascii="Arial" w:hAnsi="Arial" w:cs="Arial"/>
                <w:b/>
                <w:sz w:val="16"/>
                <w:szCs w:val="16"/>
              </w:rPr>
              <w:t>4</w:t>
            </w:r>
            <w:r w:rsidR="008B5508">
              <w:rPr>
                <w:rFonts w:ascii="Arial" w:hAnsi="Arial" w:cs="Arial"/>
                <w:b/>
                <w:sz w:val="16"/>
                <w:szCs w:val="16"/>
              </w:rPr>
              <w:t>3,852</w:t>
            </w:r>
          </w:p>
        </w:tc>
        <w:tc>
          <w:tcPr>
            <w:tcW w:w="1843" w:type="dxa"/>
            <w:tcBorders>
              <w:top w:val="nil"/>
              <w:left w:val="nil"/>
              <w:bottom w:val="nil"/>
              <w:right w:val="nil"/>
            </w:tcBorders>
            <w:shd w:val="clear" w:color="auto" w:fill="auto"/>
            <w:noWrap/>
            <w:vAlign w:val="bottom"/>
            <w:hideMark/>
          </w:tcPr>
          <w:p w14:paraId="0457302D" w14:textId="37E48363" w:rsidR="00832DC9" w:rsidRPr="00832DC9" w:rsidRDefault="00832DC9" w:rsidP="00832DC9">
            <w:pPr>
              <w:adjustRightInd w:val="0"/>
              <w:ind w:right="312"/>
              <w:jc w:val="right"/>
              <w:rPr>
                <w:rFonts w:ascii="Arial" w:hAnsi="Arial" w:cs="Arial"/>
                <w:color w:val="000000"/>
                <w:sz w:val="16"/>
                <w:szCs w:val="16"/>
              </w:rPr>
            </w:pPr>
            <w:r w:rsidRPr="00832DC9">
              <w:rPr>
                <w:rFonts w:ascii="Arial" w:hAnsi="Arial" w:cs="Arial"/>
                <w:sz w:val="16"/>
                <w:szCs w:val="16"/>
              </w:rPr>
              <w:t>(7</w:t>
            </w:r>
            <w:r w:rsidR="008B5508">
              <w:rPr>
                <w:rFonts w:ascii="Arial" w:hAnsi="Arial" w:cs="Arial"/>
                <w:sz w:val="16"/>
                <w:szCs w:val="16"/>
              </w:rPr>
              <w:t>1,286</w:t>
            </w:r>
            <w:r w:rsidRPr="00832DC9">
              <w:rPr>
                <w:rFonts w:ascii="Arial" w:hAnsi="Arial" w:cs="Arial"/>
                <w:sz w:val="16"/>
                <w:szCs w:val="16"/>
              </w:rPr>
              <w:t>)</w:t>
            </w:r>
          </w:p>
        </w:tc>
      </w:tr>
      <w:tr w:rsidR="00832DC9" w:rsidRPr="002234CD" w14:paraId="5B841C48" w14:textId="77777777" w:rsidTr="00143FB7">
        <w:trPr>
          <w:trHeight w:val="224"/>
        </w:trPr>
        <w:tc>
          <w:tcPr>
            <w:tcW w:w="5579" w:type="dxa"/>
            <w:tcBorders>
              <w:top w:val="nil"/>
              <w:left w:val="nil"/>
              <w:right w:val="nil"/>
            </w:tcBorders>
            <w:shd w:val="clear" w:color="auto" w:fill="auto"/>
            <w:vAlign w:val="bottom"/>
            <w:hideMark/>
          </w:tcPr>
          <w:p w14:paraId="6B5FE7E4" w14:textId="62853DCF" w:rsidR="00832DC9" w:rsidRPr="002234CD" w:rsidRDefault="00832DC9" w:rsidP="00832DC9">
            <w:pPr>
              <w:rPr>
                <w:rFonts w:ascii="Arial" w:hAnsi="Arial" w:cs="Arial"/>
                <w:sz w:val="16"/>
                <w:szCs w:val="16"/>
              </w:rPr>
            </w:pPr>
            <w:r w:rsidRPr="002234CD">
              <w:rPr>
                <w:rFonts w:ascii="Arial" w:hAnsi="Arial" w:cs="Arial"/>
                <w:sz w:val="16"/>
                <w:szCs w:val="16"/>
              </w:rPr>
              <w:t>Prepaid expenses</w:t>
            </w:r>
          </w:p>
        </w:tc>
        <w:tc>
          <w:tcPr>
            <w:tcW w:w="2076" w:type="dxa"/>
            <w:tcBorders>
              <w:top w:val="nil"/>
              <w:left w:val="nil"/>
              <w:right w:val="nil"/>
            </w:tcBorders>
            <w:shd w:val="clear" w:color="auto" w:fill="auto"/>
            <w:vAlign w:val="bottom"/>
          </w:tcPr>
          <w:p w14:paraId="3C3DC654" w14:textId="3DC767E1" w:rsidR="00832DC9" w:rsidRPr="00C52166" w:rsidRDefault="000E5C4C" w:rsidP="00832DC9">
            <w:pPr>
              <w:adjustRightInd w:val="0"/>
              <w:ind w:right="312"/>
              <w:jc w:val="right"/>
              <w:rPr>
                <w:rFonts w:ascii="Arial" w:hAnsi="Arial" w:cs="Arial"/>
                <w:b/>
                <w:sz w:val="16"/>
                <w:szCs w:val="16"/>
              </w:rPr>
            </w:pPr>
            <w:r w:rsidRPr="00C52166">
              <w:rPr>
                <w:rFonts w:ascii="Arial" w:hAnsi="Arial" w:cs="Arial"/>
                <w:b/>
                <w:sz w:val="16"/>
                <w:szCs w:val="16"/>
              </w:rPr>
              <w:t>1</w:t>
            </w:r>
            <w:r w:rsidR="00832DC9" w:rsidRPr="00C52166">
              <w:rPr>
                <w:rFonts w:ascii="Arial" w:hAnsi="Arial" w:cs="Arial"/>
                <w:b/>
                <w:sz w:val="16"/>
                <w:szCs w:val="16"/>
              </w:rPr>
              <w:t>,</w:t>
            </w:r>
            <w:r w:rsidRPr="00C52166">
              <w:rPr>
                <w:rFonts w:ascii="Arial" w:hAnsi="Arial" w:cs="Arial"/>
                <w:b/>
                <w:sz w:val="16"/>
                <w:szCs w:val="16"/>
              </w:rPr>
              <w:t>7</w:t>
            </w:r>
            <w:r w:rsidR="008B5508">
              <w:rPr>
                <w:rFonts w:ascii="Arial" w:hAnsi="Arial" w:cs="Arial"/>
                <w:b/>
                <w:sz w:val="16"/>
                <w:szCs w:val="16"/>
              </w:rPr>
              <w:t>04</w:t>
            </w:r>
          </w:p>
        </w:tc>
        <w:tc>
          <w:tcPr>
            <w:tcW w:w="1843" w:type="dxa"/>
            <w:tcBorders>
              <w:top w:val="nil"/>
              <w:left w:val="nil"/>
              <w:right w:val="nil"/>
            </w:tcBorders>
            <w:shd w:val="clear" w:color="auto" w:fill="auto"/>
            <w:noWrap/>
            <w:vAlign w:val="bottom"/>
            <w:hideMark/>
          </w:tcPr>
          <w:p w14:paraId="28EE5D75" w14:textId="59C99EEC" w:rsidR="00832DC9" w:rsidRPr="00832DC9" w:rsidRDefault="00832DC9" w:rsidP="00832DC9">
            <w:pPr>
              <w:adjustRightInd w:val="0"/>
              <w:ind w:right="312"/>
              <w:jc w:val="right"/>
              <w:rPr>
                <w:rFonts w:ascii="Arial" w:hAnsi="Arial" w:cs="Arial"/>
                <w:color w:val="000000"/>
                <w:sz w:val="16"/>
                <w:szCs w:val="16"/>
              </w:rPr>
            </w:pPr>
            <w:r w:rsidRPr="00832DC9">
              <w:rPr>
                <w:rFonts w:ascii="Arial" w:hAnsi="Arial" w:cs="Arial"/>
                <w:sz w:val="16"/>
                <w:szCs w:val="16"/>
              </w:rPr>
              <w:t>(4,</w:t>
            </w:r>
            <w:r w:rsidR="008B5508">
              <w:rPr>
                <w:rFonts w:ascii="Arial" w:hAnsi="Arial" w:cs="Arial"/>
                <w:sz w:val="16"/>
                <w:szCs w:val="16"/>
              </w:rPr>
              <w:t>893</w:t>
            </w:r>
            <w:r w:rsidRPr="00832DC9">
              <w:rPr>
                <w:rFonts w:ascii="Arial" w:hAnsi="Arial" w:cs="Arial"/>
                <w:sz w:val="16"/>
                <w:szCs w:val="16"/>
              </w:rPr>
              <w:t>)</w:t>
            </w:r>
          </w:p>
        </w:tc>
      </w:tr>
      <w:tr w:rsidR="00832DC9" w:rsidRPr="002234CD" w14:paraId="005FE4CC" w14:textId="77777777" w:rsidTr="00143FB7">
        <w:trPr>
          <w:trHeight w:val="224"/>
        </w:trPr>
        <w:tc>
          <w:tcPr>
            <w:tcW w:w="5579" w:type="dxa"/>
            <w:tcBorders>
              <w:top w:val="nil"/>
              <w:left w:val="nil"/>
              <w:bottom w:val="single" w:sz="4" w:space="0" w:color="auto"/>
              <w:right w:val="nil"/>
            </w:tcBorders>
            <w:shd w:val="clear" w:color="auto" w:fill="auto"/>
            <w:vAlign w:val="bottom"/>
            <w:hideMark/>
          </w:tcPr>
          <w:p w14:paraId="763DDAA2" w14:textId="77777777" w:rsidR="00832DC9" w:rsidRPr="002234CD" w:rsidRDefault="00832DC9" w:rsidP="00832DC9">
            <w:pPr>
              <w:rPr>
                <w:rFonts w:ascii="Arial" w:hAnsi="Arial" w:cs="Arial"/>
                <w:sz w:val="16"/>
                <w:szCs w:val="16"/>
              </w:rPr>
            </w:pPr>
            <w:r w:rsidRPr="002234CD">
              <w:rPr>
                <w:rFonts w:ascii="Arial" w:hAnsi="Arial" w:cs="Arial"/>
                <w:sz w:val="16"/>
                <w:szCs w:val="16"/>
              </w:rPr>
              <w:t>Accounts payable and accrued liabilities</w:t>
            </w:r>
          </w:p>
        </w:tc>
        <w:tc>
          <w:tcPr>
            <w:tcW w:w="2076" w:type="dxa"/>
            <w:tcBorders>
              <w:top w:val="nil"/>
              <w:left w:val="nil"/>
              <w:bottom w:val="single" w:sz="4" w:space="0" w:color="auto"/>
              <w:right w:val="nil"/>
            </w:tcBorders>
            <w:shd w:val="clear" w:color="auto" w:fill="auto"/>
            <w:vAlign w:val="bottom"/>
          </w:tcPr>
          <w:p w14:paraId="27630060" w14:textId="27A4517C" w:rsidR="00832DC9" w:rsidRPr="00C52166" w:rsidRDefault="000E5C4C" w:rsidP="00832DC9">
            <w:pPr>
              <w:adjustRightInd w:val="0"/>
              <w:ind w:right="312"/>
              <w:jc w:val="right"/>
              <w:rPr>
                <w:rFonts w:ascii="Arial" w:hAnsi="Arial" w:cs="Arial"/>
                <w:b/>
                <w:sz w:val="16"/>
                <w:szCs w:val="16"/>
              </w:rPr>
            </w:pPr>
            <w:r w:rsidRPr="00C52166">
              <w:rPr>
                <w:rFonts w:ascii="Arial" w:hAnsi="Arial" w:cs="Arial"/>
                <w:b/>
                <w:sz w:val="16"/>
                <w:szCs w:val="16"/>
              </w:rPr>
              <w:t>(</w:t>
            </w:r>
            <w:r w:rsidR="000836D1">
              <w:rPr>
                <w:rFonts w:ascii="Arial" w:hAnsi="Arial" w:cs="Arial"/>
                <w:b/>
                <w:sz w:val="16"/>
                <w:szCs w:val="16"/>
              </w:rPr>
              <w:t>6</w:t>
            </w:r>
            <w:r w:rsidR="00014A8C">
              <w:rPr>
                <w:rFonts w:ascii="Arial" w:hAnsi="Arial" w:cs="Arial"/>
                <w:b/>
                <w:sz w:val="16"/>
                <w:szCs w:val="16"/>
              </w:rPr>
              <w:t>1,792</w:t>
            </w:r>
            <w:r w:rsidRPr="00C52166">
              <w:rPr>
                <w:rFonts w:ascii="Arial" w:hAnsi="Arial" w:cs="Arial"/>
                <w:b/>
                <w:sz w:val="16"/>
                <w:szCs w:val="16"/>
              </w:rPr>
              <w:t>)</w:t>
            </w:r>
          </w:p>
        </w:tc>
        <w:tc>
          <w:tcPr>
            <w:tcW w:w="1843" w:type="dxa"/>
            <w:tcBorders>
              <w:top w:val="nil"/>
              <w:left w:val="nil"/>
              <w:bottom w:val="single" w:sz="4" w:space="0" w:color="auto"/>
              <w:right w:val="nil"/>
            </w:tcBorders>
            <w:shd w:val="clear" w:color="auto" w:fill="auto"/>
            <w:noWrap/>
            <w:vAlign w:val="bottom"/>
            <w:hideMark/>
          </w:tcPr>
          <w:p w14:paraId="1C122D48" w14:textId="469CE05B" w:rsidR="00832DC9" w:rsidRPr="00832DC9" w:rsidRDefault="008B5508" w:rsidP="00832DC9">
            <w:pPr>
              <w:adjustRightInd w:val="0"/>
              <w:ind w:right="312"/>
              <w:jc w:val="right"/>
              <w:rPr>
                <w:rFonts w:ascii="Arial" w:hAnsi="Arial" w:cs="Arial"/>
                <w:color w:val="000000"/>
                <w:sz w:val="16"/>
                <w:szCs w:val="16"/>
              </w:rPr>
            </w:pPr>
            <w:r>
              <w:rPr>
                <w:rFonts w:ascii="Arial" w:hAnsi="Arial" w:cs="Arial"/>
                <w:color w:val="000000"/>
                <w:sz w:val="16"/>
                <w:szCs w:val="16"/>
              </w:rPr>
              <w:t>325,265</w:t>
            </w:r>
          </w:p>
        </w:tc>
      </w:tr>
      <w:tr w:rsidR="00832DC9" w:rsidRPr="002234CD" w14:paraId="5E3BB26B" w14:textId="77777777" w:rsidTr="00143FB7">
        <w:trPr>
          <w:trHeight w:val="224"/>
        </w:trPr>
        <w:tc>
          <w:tcPr>
            <w:tcW w:w="5579" w:type="dxa"/>
            <w:tcBorders>
              <w:top w:val="single" w:sz="4" w:space="0" w:color="auto"/>
              <w:left w:val="nil"/>
              <w:bottom w:val="single" w:sz="4" w:space="0" w:color="000000"/>
              <w:right w:val="nil"/>
            </w:tcBorders>
            <w:shd w:val="clear" w:color="auto" w:fill="auto"/>
            <w:vAlign w:val="bottom"/>
            <w:hideMark/>
          </w:tcPr>
          <w:p w14:paraId="1B3CF803" w14:textId="77777777" w:rsidR="00832DC9" w:rsidRPr="002234CD" w:rsidRDefault="00832DC9" w:rsidP="00832DC9">
            <w:pPr>
              <w:rPr>
                <w:rFonts w:ascii="Arial" w:hAnsi="Arial" w:cs="Arial"/>
                <w:b/>
                <w:bCs/>
                <w:sz w:val="16"/>
                <w:szCs w:val="16"/>
              </w:rPr>
            </w:pPr>
            <w:r w:rsidRPr="002234CD">
              <w:rPr>
                <w:rFonts w:ascii="Arial" w:hAnsi="Arial" w:cs="Arial"/>
                <w:b/>
                <w:bCs/>
                <w:sz w:val="16"/>
                <w:szCs w:val="16"/>
              </w:rPr>
              <w:t>Cash used in operating activities</w:t>
            </w:r>
          </w:p>
        </w:tc>
        <w:tc>
          <w:tcPr>
            <w:tcW w:w="2076" w:type="dxa"/>
            <w:tcBorders>
              <w:top w:val="single" w:sz="4" w:space="0" w:color="auto"/>
              <w:left w:val="nil"/>
              <w:bottom w:val="single" w:sz="4" w:space="0" w:color="000000"/>
              <w:right w:val="nil"/>
            </w:tcBorders>
            <w:shd w:val="clear" w:color="auto" w:fill="auto"/>
            <w:vAlign w:val="bottom"/>
          </w:tcPr>
          <w:p w14:paraId="778880AD" w14:textId="7C86769D" w:rsidR="00832DC9" w:rsidRPr="00C52166" w:rsidRDefault="00832DC9" w:rsidP="00832DC9">
            <w:pPr>
              <w:adjustRightInd w:val="0"/>
              <w:ind w:right="312"/>
              <w:jc w:val="right"/>
              <w:rPr>
                <w:rFonts w:ascii="Arial" w:hAnsi="Arial" w:cs="Arial"/>
                <w:b/>
                <w:sz w:val="16"/>
                <w:szCs w:val="16"/>
              </w:rPr>
            </w:pPr>
            <w:r w:rsidRPr="00C52166">
              <w:rPr>
                <w:rFonts w:ascii="Arial" w:hAnsi="Arial" w:cs="Arial"/>
                <w:b/>
                <w:sz w:val="16"/>
                <w:szCs w:val="16"/>
              </w:rPr>
              <w:t>(2,</w:t>
            </w:r>
            <w:r w:rsidR="000E5C4C" w:rsidRPr="00C52166">
              <w:rPr>
                <w:rFonts w:ascii="Arial" w:hAnsi="Arial" w:cs="Arial"/>
                <w:b/>
                <w:sz w:val="16"/>
                <w:szCs w:val="16"/>
              </w:rPr>
              <w:t>4</w:t>
            </w:r>
            <w:r w:rsidR="008B5508">
              <w:rPr>
                <w:rFonts w:ascii="Arial" w:hAnsi="Arial" w:cs="Arial"/>
                <w:b/>
                <w:sz w:val="16"/>
                <w:szCs w:val="16"/>
              </w:rPr>
              <w:t>83,</w:t>
            </w:r>
            <w:r w:rsidR="00014A8C">
              <w:rPr>
                <w:rFonts w:ascii="Arial" w:hAnsi="Arial" w:cs="Arial"/>
                <w:b/>
                <w:sz w:val="16"/>
                <w:szCs w:val="16"/>
              </w:rPr>
              <w:t>8</w:t>
            </w:r>
            <w:r w:rsidR="00FD6936">
              <w:rPr>
                <w:rFonts w:ascii="Arial" w:hAnsi="Arial" w:cs="Arial"/>
                <w:b/>
                <w:sz w:val="16"/>
                <w:szCs w:val="16"/>
              </w:rPr>
              <w:t>6</w:t>
            </w:r>
            <w:r w:rsidR="00753159">
              <w:rPr>
                <w:rFonts w:ascii="Arial" w:hAnsi="Arial" w:cs="Arial"/>
                <w:b/>
                <w:sz w:val="16"/>
                <w:szCs w:val="16"/>
              </w:rPr>
              <w:t>9</w:t>
            </w:r>
            <w:r w:rsidRPr="00C52166">
              <w:rPr>
                <w:rFonts w:ascii="Arial" w:hAnsi="Arial" w:cs="Arial"/>
                <w:b/>
                <w:sz w:val="16"/>
                <w:szCs w:val="16"/>
              </w:rPr>
              <w:t>)</w:t>
            </w:r>
          </w:p>
        </w:tc>
        <w:tc>
          <w:tcPr>
            <w:tcW w:w="1843" w:type="dxa"/>
            <w:tcBorders>
              <w:top w:val="single" w:sz="4" w:space="0" w:color="auto"/>
              <w:left w:val="nil"/>
              <w:bottom w:val="single" w:sz="4" w:space="0" w:color="000000"/>
              <w:right w:val="nil"/>
            </w:tcBorders>
            <w:shd w:val="clear" w:color="auto" w:fill="auto"/>
            <w:noWrap/>
            <w:vAlign w:val="bottom"/>
            <w:hideMark/>
          </w:tcPr>
          <w:p w14:paraId="4ABD60E9" w14:textId="46B40776" w:rsidR="00832DC9" w:rsidRPr="00832DC9" w:rsidRDefault="00832DC9" w:rsidP="00832DC9">
            <w:pPr>
              <w:adjustRightInd w:val="0"/>
              <w:ind w:right="312"/>
              <w:jc w:val="right"/>
              <w:rPr>
                <w:rFonts w:ascii="Arial" w:hAnsi="Arial" w:cs="Arial"/>
                <w:color w:val="000000"/>
                <w:sz w:val="16"/>
                <w:szCs w:val="16"/>
              </w:rPr>
            </w:pPr>
            <w:r w:rsidRPr="00832DC9">
              <w:rPr>
                <w:rFonts w:ascii="Arial" w:hAnsi="Arial" w:cs="Arial"/>
                <w:sz w:val="16"/>
                <w:szCs w:val="16"/>
              </w:rPr>
              <w:t>(2,0</w:t>
            </w:r>
            <w:r w:rsidR="008B5508">
              <w:rPr>
                <w:rFonts w:ascii="Arial" w:hAnsi="Arial" w:cs="Arial"/>
                <w:sz w:val="16"/>
                <w:szCs w:val="16"/>
              </w:rPr>
              <w:t>32,21</w:t>
            </w:r>
            <w:r w:rsidR="00CD783C">
              <w:rPr>
                <w:rFonts w:ascii="Arial" w:hAnsi="Arial" w:cs="Arial"/>
                <w:sz w:val="16"/>
                <w:szCs w:val="16"/>
              </w:rPr>
              <w:t>0</w:t>
            </w:r>
            <w:r w:rsidRPr="00832DC9">
              <w:rPr>
                <w:rFonts w:ascii="Arial" w:hAnsi="Arial" w:cs="Arial"/>
                <w:sz w:val="16"/>
                <w:szCs w:val="16"/>
              </w:rPr>
              <w:t>)</w:t>
            </w:r>
          </w:p>
        </w:tc>
      </w:tr>
      <w:tr w:rsidR="00832DC9" w:rsidRPr="002234CD" w14:paraId="7E1051D4" w14:textId="77777777" w:rsidTr="007B2708">
        <w:trPr>
          <w:trHeight w:val="419"/>
        </w:trPr>
        <w:tc>
          <w:tcPr>
            <w:tcW w:w="5579" w:type="dxa"/>
            <w:tcBorders>
              <w:top w:val="nil"/>
              <w:left w:val="nil"/>
              <w:bottom w:val="nil"/>
              <w:right w:val="nil"/>
            </w:tcBorders>
            <w:shd w:val="clear" w:color="auto" w:fill="auto"/>
            <w:vAlign w:val="center"/>
            <w:hideMark/>
          </w:tcPr>
          <w:p w14:paraId="0C6EF75F" w14:textId="77777777" w:rsidR="00832DC9" w:rsidRPr="002234CD" w:rsidRDefault="00832DC9" w:rsidP="00832DC9">
            <w:pPr>
              <w:rPr>
                <w:rFonts w:ascii="Arial" w:hAnsi="Arial" w:cs="Arial"/>
                <w:b/>
                <w:bCs/>
                <w:sz w:val="16"/>
                <w:szCs w:val="16"/>
              </w:rPr>
            </w:pPr>
            <w:r w:rsidRPr="002234CD">
              <w:rPr>
                <w:rFonts w:ascii="Arial" w:hAnsi="Arial" w:cs="Arial"/>
                <w:b/>
                <w:bCs/>
                <w:sz w:val="16"/>
                <w:szCs w:val="16"/>
              </w:rPr>
              <w:t>FINANCING ACTIVITIES</w:t>
            </w:r>
          </w:p>
        </w:tc>
        <w:tc>
          <w:tcPr>
            <w:tcW w:w="2076" w:type="dxa"/>
            <w:tcBorders>
              <w:top w:val="nil"/>
              <w:left w:val="nil"/>
              <w:bottom w:val="nil"/>
              <w:right w:val="nil"/>
            </w:tcBorders>
            <w:shd w:val="clear" w:color="auto" w:fill="auto"/>
            <w:vAlign w:val="bottom"/>
          </w:tcPr>
          <w:p w14:paraId="5A8966C9" w14:textId="332F2ACF" w:rsidR="00832DC9" w:rsidRPr="00C52166" w:rsidRDefault="00832DC9" w:rsidP="00832DC9">
            <w:pPr>
              <w:adjustRightInd w:val="0"/>
              <w:ind w:right="312"/>
              <w:jc w:val="right"/>
              <w:rPr>
                <w:rFonts w:ascii="Arial" w:hAnsi="Arial" w:cs="Arial"/>
                <w:b/>
                <w:sz w:val="16"/>
                <w:szCs w:val="16"/>
              </w:rPr>
            </w:pPr>
          </w:p>
        </w:tc>
        <w:tc>
          <w:tcPr>
            <w:tcW w:w="1843" w:type="dxa"/>
            <w:tcBorders>
              <w:top w:val="nil"/>
              <w:left w:val="nil"/>
              <w:bottom w:val="nil"/>
              <w:right w:val="nil"/>
            </w:tcBorders>
            <w:shd w:val="clear" w:color="auto" w:fill="auto"/>
            <w:vAlign w:val="bottom"/>
            <w:hideMark/>
          </w:tcPr>
          <w:p w14:paraId="64391CBC" w14:textId="404E0AF9" w:rsidR="00832DC9" w:rsidRPr="00832DC9" w:rsidRDefault="00832DC9" w:rsidP="00832DC9">
            <w:pPr>
              <w:adjustRightInd w:val="0"/>
              <w:ind w:right="312"/>
              <w:jc w:val="right"/>
              <w:rPr>
                <w:rFonts w:ascii="Arial" w:hAnsi="Arial" w:cs="Arial"/>
                <w:color w:val="000000"/>
                <w:sz w:val="20"/>
                <w:szCs w:val="20"/>
              </w:rPr>
            </w:pPr>
          </w:p>
        </w:tc>
      </w:tr>
      <w:tr w:rsidR="00832DC9" w:rsidRPr="002234CD" w14:paraId="7A3DB65D" w14:textId="77777777" w:rsidTr="007B2708">
        <w:trPr>
          <w:trHeight w:val="224"/>
        </w:trPr>
        <w:tc>
          <w:tcPr>
            <w:tcW w:w="5579" w:type="dxa"/>
            <w:tcBorders>
              <w:top w:val="nil"/>
              <w:left w:val="nil"/>
              <w:bottom w:val="nil"/>
              <w:right w:val="nil"/>
            </w:tcBorders>
            <w:shd w:val="clear" w:color="auto" w:fill="auto"/>
            <w:vAlign w:val="bottom"/>
            <w:hideMark/>
          </w:tcPr>
          <w:p w14:paraId="532023AE" w14:textId="77777777" w:rsidR="00832DC9" w:rsidRPr="002234CD" w:rsidRDefault="00832DC9" w:rsidP="00832DC9">
            <w:pPr>
              <w:rPr>
                <w:rFonts w:ascii="Arial" w:hAnsi="Arial" w:cs="Arial"/>
                <w:sz w:val="16"/>
                <w:szCs w:val="16"/>
              </w:rPr>
            </w:pPr>
            <w:r w:rsidRPr="002234CD">
              <w:rPr>
                <w:rFonts w:ascii="Arial" w:hAnsi="Arial" w:cs="Arial"/>
                <w:sz w:val="16"/>
                <w:szCs w:val="16"/>
              </w:rPr>
              <w:t>Proceeds from shares issued in private placements</w:t>
            </w:r>
          </w:p>
        </w:tc>
        <w:tc>
          <w:tcPr>
            <w:tcW w:w="2076" w:type="dxa"/>
            <w:tcBorders>
              <w:top w:val="nil"/>
              <w:left w:val="nil"/>
              <w:bottom w:val="nil"/>
              <w:right w:val="nil"/>
            </w:tcBorders>
            <w:shd w:val="clear" w:color="auto" w:fill="auto"/>
            <w:vAlign w:val="bottom"/>
          </w:tcPr>
          <w:p w14:paraId="0FA39940" w14:textId="6CE628C7" w:rsidR="00832DC9" w:rsidRPr="00C52166" w:rsidRDefault="000E5C4C" w:rsidP="00832DC9">
            <w:pPr>
              <w:adjustRightInd w:val="0"/>
              <w:ind w:right="312"/>
              <w:jc w:val="right"/>
              <w:rPr>
                <w:rFonts w:ascii="Arial" w:hAnsi="Arial" w:cs="Arial"/>
                <w:b/>
                <w:color w:val="000000"/>
                <w:sz w:val="16"/>
                <w:szCs w:val="16"/>
              </w:rPr>
            </w:pPr>
            <w:r w:rsidRPr="00C52166">
              <w:rPr>
                <w:rFonts w:ascii="Arial" w:hAnsi="Arial" w:cs="Arial"/>
                <w:b/>
                <w:color w:val="000000"/>
                <w:sz w:val="16"/>
                <w:szCs w:val="16"/>
              </w:rPr>
              <w:t>-</w:t>
            </w:r>
          </w:p>
        </w:tc>
        <w:tc>
          <w:tcPr>
            <w:tcW w:w="1843" w:type="dxa"/>
            <w:tcBorders>
              <w:top w:val="nil"/>
              <w:left w:val="nil"/>
              <w:bottom w:val="nil"/>
              <w:right w:val="nil"/>
            </w:tcBorders>
            <w:shd w:val="clear" w:color="auto" w:fill="auto"/>
            <w:noWrap/>
            <w:vAlign w:val="bottom"/>
            <w:hideMark/>
          </w:tcPr>
          <w:p w14:paraId="123AF10A" w14:textId="37B1C71D" w:rsidR="00832DC9" w:rsidRPr="00832DC9" w:rsidRDefault="00832DC9" w:rsidP="00832DC9">
            <w:pPr>
              <w:adjustRightInd w:val="0"/>
              <w:ind w:right="312"/>
              <w:jc w:val="right"/>
              <w:rPr>
                <w:rFonts w:ascii="Arial" w:hAnsi="Arial" w:cs="Arial"/>
                <w:color w:val="000000"/>
                <w:sz w:val="16"/>
                <w:szCs w:val="16"/>
              </w:rPr>
            </w:pPr>
            <w:r w:rsidRPr="00832DC9">
              <w:rPr>
                <w:rFonts w:ascii="Arial" w:hAnsi="Arial" w:cs="Arial"/>
                <w:color w:val="000000"/>
                <w:sz w:val="16"/>
                <w:szCs w:val="16"/>
              </w:rPr>
              <w:t>2,299,985</w:t>
            </w:r>
          </w:p>
        </w:tc>
      </w:tr>
      <w:tr w:rsidR="00832DC9" w:rsidRPr="002234CD" w14:paraId="17508E75" w14:textId="77777777" w:rsidTr="000F431E">
        <w:trPr>
          <w:trHeight w:val="224"/>
        </w:trPr>
        <w:tc>
          <w:tcPr>
            <w:tcW w:w="5579" w:type="dxa"/>
            <w:tcBorders>
              <w:top w:val="nil"/>
              <w:left w:val="nil"/>
              <w:bottom w:val="single" w:sz="4" w:space="0" w:color="auto"/>
              <w:right w:val="nil"/>
            </w:tcBorders>
            <w:shd w:val="clear" w:color="auto" w:fill="auto"/>
            <w:vAlign w:val="bottom"/>
          </w:tcPr>
          <w:p w14:paraId="584193ED" w14:textId="2C6F8B90" w:rsidR="00832DC9" w:rsidRPr="002234CD" w:rsidRDefault="00832DC9" w:rsidP="00832DC9">
            <w:pPr>
              <w:rPr>
                <w:rFonts w:ascii="Arial" w:hAnsi="Arial" w:cs="Arial"/>
                <w:sz w:val="16"/>
                <w:szCs w:val="16"/>
              </w:rPr>
            </w:pPr>
            <w:r w:rsidRPr="002234CD">
              <w:rPr>
                <w:rFonts w:ascii="Arial" w:hAnsi="Arial" w:cs="Arial"/>
                <w:sz w:val="16"/>
                <w:szCs w:val="16"/>
              </w:rPr>
              <w:t>Proceeds from the exercise of stock options</w:t>
            </w:r>
          </w:p>
        </w:tc>
        <w:tc>
          <w:tcPr>
            <w:tcW w:w="2076" w:type="dxa"/>
            <w:tcBorders>
              <w:top w:val="nil"/>
              <w:left w:val="nil"/>
              <w:bottom w:val="single" w:sz="4" w:space="0" w:color="auto"/>
              <w:right w:val="nil"/>
            </w:tcBorders>
            <w:shd w:val="clear" w:color="auto" w:fill="auto"/>
            <w:vAlign w:val="bottom"/>
          </w:tcPr>
          <w:p w14:paraId="3F5F75BC" w14:textId="2CDE0705" w:rsidR="00832DC9" w:rsidRPr="00C52166" w:rsidRDefault="000E5C4C" w:rsidP="00832DC9">
            <w:pPr>
              <w:adjustRightInd w:val="0"/>
              <w:ind w:right="312"/>
              <w:jc w:val="right"/>
              <w:rPr>
                <w:rFonts w:ascii="Arial" w:hAnsi="Arial" w:cs="Arial"/>
                <w:b/>
                <w:color w:val="000000"/>
                <w:sz w:val="16"/>
                <w:szCs w:val="16"/>
              </w:rPr>
            </w:pPr>
            <w:r w:rsidRPr="00C52166">
              <w:rPr>
                <w:rFonts w:ascii="Arial" w:hAnsi="Arial" w:cs="Arial"/>
                <w:b/>
                <w:color w:val="000000"/>
                <w:sz w:val="16"/>
                <w:szCs w:val="16"/>
              </w:rPr>
              <w:t>-</w:t>
            </w:r>
          </w:p>
        </w:tc>
        <w:tc>
          <w:tcPr>
            <w:tcW w:w="1843" w:type="dxa"/>
            <w:tcBorders>
              <w:top w:val="nil"/>
              <w:left w:val="nil"/>
              <w:bottom w:val="nil"/>
              <w:right w:val="nil"/>
            </w:tcBorders>
            <w:shd w:val="clear" w:color="auto" w:fill="auto"/>
            <w:noWrap/>
            <w:vAlign w:val="bottom"/>
          </w:tcPr>
          <w:p w14:paraId="4C348EA1" w14:textId="6FD0EE5B" w:rsidR="00832DC9" w:rsidRPr="00832DC9" w:rsidRDefault="00832DC9" w:rsidP="00832DC9">
            <w:pPr>
              <w:adjustRightInd w:val="0"/>
              <w:ind w:right="312"/>
              <w:jc w:val="right"/>
              <w:rPr>
                <w:rFonts w:ascii="Arial" w:hAnsi="Arial" w:cs="Arial"/>
                <w:color w:val="000000"/>
                <w:sz w:val="16"/>
                <w:szCs w:val="16"/>
              </w:rPr>
            </w:pPr>
            <w:r w:rsidRPr="00832DC9">
              <w:rPr>
                <w:rFonts w:ascii="Arial" w:hAnsi="Arial" w:cs="Arial"/>
                <w:color w:val="000000"/>
                <w:sz w:val="16"/>
                <w:szCs w:val="16"/>
              </w:rPr>
              <w:t>96,600</w:t>
            </w:r>
          </w:p>
        </w:tc>
      </w:tr>
      <w:tr w:rsidR="00832DC9" w:rsidRPr="002234CD" w14:paraId="3F286DBA" w14:textId="77777777" w:rsidTr="000F431E">
        <w:trPr>
          <w:trHeight w:val="224"/>
        </w:trPr>
        <w:tc>
          <w:tcPr>
            <w:tcW w:w="5579" w:type="dxa"/>
            <w:tcBorders>
              <w:top w:val="single" w:sz="4" w:space="0" w:color="auto"/>
              <w:left w:val="nil"/>
              <w:bottom w:val="single" w:sz="4" w:space="0" w:color="000000"/>
              <w:right w:val="nil"/>
            </w:tcBorders>
            <w:shd w:val="clear" w:color="auto" w:fill="auto"/>
            <w:vAlign w:val="bottom"/>
          </w:tcPr>
          <w:p w14:paraId="144E88EB" w14:textId="0751CC6C" w:rsidR="00832DC9" w:rsidRPr="002234CD" w:rsidRDefault="00832DC9" w:rsidP="00832DC9">
            <w:pPr>
              <w:rPr>
                <w:rFonts w:ascii="Arial" w:hAnsi="Arial" w:cs="Arial"/>
                <w:sz w:val="16"/>
                <w:szCs w:val="16"/>
              </w:rPr>
            </w:pPr>
            <w:r w:rsidRPr="002234CD">
              <w:rPr>
                <w:rFonts w:ascii="Arial" w:hAnsi="Arial" w:cs="Arial"/>
                <w:b/>
                <w:bCs/>
                <w:sz w:val="16"/>
                <w:szCs w:val="16"/>
              </w:rPr>
              <w:t>Cash provided by financing activities</w:t>
            </w:r>
          </w:p>
        </w:tc>
        <w:tc>
          <w:tcPr>
            <w:tcW w:w="2076" w:type="dxa"/>
            <w:tcBorders>
              <w:top w:val="single" w:sz="4" w:space="0" w:color="auto"/>
              <w:left w:val="nil"/>
              <w:bottom w:val="single" w:sz="4" w:space="0" w:color="000000"/>
              <w:right w:val="nil"/>
            </w:tcBorders>
            <w:shd w:val="clear" w:color="auto" w:fill="auto"/>
            <w:vAlign w:val="bottom"/>
          </w:tcPr>
          <w:p w14:paraId="6159978D" w14:textId="75A15041" w:rsidR="00832DC9" w:rsidRPr="00C52166" w:rsidRDefault="000E5C4C" w:rsidP="00832DC9">
            <w:pPr>
              <w:adjustRightInd w:val="0"/>
              <w:ind w:right="312"/>
              <w:jc w:val="right"/>
              <w:rPr>
                <w:rFonts w:ascii="Arial" w:hAnsi="Arial" w:cs="Arial"/>
                <w:b/>
                <w:sz w:val="16"/>
                <w:szCs w:val="16"/>
              </w:rPr>
            </w:pPr>
            <w:r w:rsidRPr="00C52166">
              <w:rPr>
                <w:rFonts w:ascii="Arial" w:hAnsi="Arial" w:cs="Arial"/>
                <w:b/>
                <w:sz w:val="16"/>
                <w:szCs w:val="16"/>
              </w:rPr>
              <w:t>-</w:t>
            </w:r>
          </w:p>
        </w:tc>
        <w:tc>
          <w:tcPr>
            <w:tcW w:w="1843" w:type="dxa"/>
            <w:tcBorders>
              <w:top w:val="single" w:sz="4" w:space="0" w:color="auto"/>
              <w:left w:val="nil"/>
              <w:bottom w:val="single" w:sz="4" w:space="0" w:color="auto"/>
              <w:right w:val="nil"/>
            </w:tcBorders>
            <w:shd w:val="clear" w:color="auto" w:fill="auto"/>
            <w:noWrap/>
            <w:vAlign w:val="bottom"/>
          </w:tcPr>
          <w:p w14:paraId="4517DA8F" w14:textId="0471F432" w:rsidR="00832DC9" w:rsidRPr="00832DC9" w:rsidRDefault="00832DC9" w:rsidP="00832DC9">
            <w:pPr>
              <w:adjustRightInd w:val="0"/>
              <w:ind w:right="312"/>
              <w:jc w:val="right"/>
              <w:rPr>
                <w:rFonts w:ascii="Arial" w:hAnsi="Arial" w:cs="Arial"/>
                <w:color w:val="000000"/>
                <w:sz w:val="16"/>
                <w:szCs w:val="16"/>
              </w:rPr>
            </w:pPr>
            <w:r w:rsidRPr="00832DC9">
              <w:rPr>
                <w:rFonts w:ascii="Arial" w:hAnsi="Arial" w:cs="Arial"/>
                <w:sz w:val="16"/>
                <w:szCs w:val="16"/>
              </w:rPr>
              <w:t>2,396,585</w:t>
            </w:r>
          </w:p>
        </w:tc>
      </w:tr>
      <w:tr w:rsidR="00832DC9" w:rsidRPr="002234CD" w14:paraId="0FA5F3D9" w14:textId="77777777" w:rsidTr="007B2708">
        <w:trPr>
          <w:trHeight w:val="224"/>
        </w:trPr>
        <w:tc>
          <w:tcPr>
            <w:tcW w:w="5579" w:type="dxa"/>
            <w:tcBorders>
              <w:top w:val="nil"/>
              <w:left w:val="nil"/>
              <w:bottom w:val="single" w:sz="4" w:space="0" w:color="000000"/>
              <w:right w:val="nil"/>
            </w:tcBorders>
            <w:shd w:val="clear" w:color="auto" w:fill="auto"/>
            <w:vAlign w:val="bottom"/>
            <w:hideMark/>
          </w:tcPr>
          <w:p w14:paraId="0D0640E1" w14:textId="02040429" w:rsidR="00832DC9" w:rsidRPr="002234CD" w:rsidRDefault="00832DC9" w:rsidP="00832DC9">
            <w:pPr>
              <w:rPr>
                <w:rFonts w:ascii="Arial" w:hAnsi="Arial" w:cs="Arial"/>
                <w:b/>
                <w:bCs/>
                <w:sz w:val="16"/>
                <w:szCs w:val="16"/>
              </w:rPr>
            </w:pPr>
          </w:p>
        </w:tc>
        <w:tc>
          <w:tcPr>
            <w:tcW w:w="2076" w:type="dxa"/>
            <w:tcBorders>
              <w:top w:val="nil"/>
              <w:left w:val="nil"/>
              <w:bottom w:val="single" w:sz="4" w:space="0" w:color="000000"/>
              <w:right w:val="nil"/>
            </w:tcBorders>
            <w:shd w:val="clear" w:color="auto" w:fill="auto"/>
            <w:vAlign w:val="bottom"/>
          </w:tcPr>
          <w:p w14:paraId="5C789034" w14:textId="43ABDADE" w:rsidR="00832DC9" w:rsidRPr="00C52166" w:rsidRDefault="00832DC9" w:rsidP="00832DC9">
            <w:pPr>
              <w:adjustRightInd w:val="0"/>
              <w:ind w:right="312"/>
              <w:jc w:val="right"/>
              <w:rPr>
                <w:rFonts w:ascii="Arial" w:hAnsi="Arial" w:cs="Arial"/>
                <w:b/>
                <w:sz w:val="16"/>
                <w:szCs w:val="16"/>
              </w:rPr>
            </w:pPr>
          </w:p>
        </w:tc>
        <w:tc>
          <w:tcPr>
            <w:tcW w:w="1843" w:type="dxa"/>
            <w:tcBorders>
              <w:top w:val="single" w:sz="4" w:space="0" w:color="auto"/>
              <w:left w:val="nil"/>
              <w:bottom w:val="single" w:sz="4" w:space="0" w:color="auto"/>
              <w:right w:val="nil"/>
            </w:tcBorders>
            <w:shd w:val="clear" w:color="auto" w:fill="auto"/>
            <w:noWrap/>
            <w:vAlign w:val="bottom"/>
            <w:hideMark/>
          </w:tcPr>
          <w:p w14:paraId="1840F93A" w14:textId="63315716" w:rsidR="00832DC9" w:rsidRPr="00832DC9" w:rsidRDefault="00832DC9" w:rsidP="00832DC9">
            <w:pPr>
              <w:adjustRightInd w:val="0"/>
              <w:ind w:right="312"/>
              <w:jc w:val="right"/>
              <w:rPr>
                <w:rFonts w:ascii="Arial" w:hAnsi="Arial" w:cs="Arial"/>
                <w:color w:val="000000"/>
                <w:sz w:val="16"/>
                <w:szCs w:val="16"/>
              </w:rPr>
            </w:pPr>
          </w:p>
        </w:tc>
      </w:tr>
      <w:tr w:rsidR="00832DC9" w:rsidRPr="002234CD" w14:paraId="4053A19D" w14:textId="77777777" w:rsidTr="007B2708">
        <w:trPr>
          <w:trHeight w:val="224"/>
        </w:trPr>
        <w:tc>
          <w:tcPr>
            <w:tcW w:w="5579" w:type="dxa"/>
            <w:tcBorders>
              <w:top w:val="nil"/>
              <w:left w:val="nil"/>
              <w:bottom w:val="nil"/>
              <w:right w:val="nil"/>
            </w:tcBorders>
            <w:shd w:val="clear" w:color="auto" w:fill="auto"/>
            <w:vAlign w:val="bottom"/>
          </w:tcPr>
          <w:p w14:paraId="01566B12" w14:textId="2BCE2694" w:rsidR="00832DC9" w:rsidRPr="002234CD" w:rsidRDefault="00832DC9" w:rsidP="00832DC9">
            <w:pPr>
              <w:rPr>
                <w:rFonts w:ascii="Arial" w:hAnsi="Arial" w:cs="Arial"/>
                <w:b/>
                <w:bCs/>
                <w:sz w:val="16"/>
                <w:szCs w:val="16"/>
              </w:rPr>
            </w:pPr>
            <w:r w:rsidRPr="002234CD">
              <w:rPr>
                <w:rFonts w:ascii="Arial" w:hAnsi="Arial" w:cs="Arial"/>
                <w:sz w:val="16"/>
                <w:szCs w:val="16"/>
              </w:rPr>
              <w:t>Increase (Decrease) in cash and cash equivalents during year</w:t>
            </w:r>
          </w:p>
        </w:tc>
        <w:tc>
          <w:tcPr>
            <w:tcW w:w="2076" w:type="dxa"/>
            <w:tcBorders>
              <w:top w:val="nil"/>
              <w:left w:val="nil"/>
              <w:bottom w:val="nil"/>
              <w:right w:val="nil"/>
            </w:tcBorders>
            <w:shd w:val="clear" w:color="auto" w:fill="auto"/>
            <w:vAlign w:val="bottom"/>
          </w:tcPr>
          <w:p w14:paraId="55439997" w14:textId="4D815A86" w:rsidR="00832DC9" w:rsidRPr="00C52166" w:rsidRDefault="000E5C4C" w:rsidP="00832DC9">
            <w:pPr>
              <w:adjustRightInd w:val="0"/>
              <w:ind w:right="312"/>
              <w:jc w:val="right"/>
              <w:rPr>
                <w:rFonts w:ascii="Arial" w:hAnsi="Arial" w:cs="Arial"/>
                <w:b/>
                <w:sz w:val="16"/>
                <w:szCs w:val="16"/>
              </w:rPr>
            </w:pPr>
            <w:r w:rsidRPr="00C52166">
              <w:rPr>
                <w:rFonts w:ascii="Arial" w:hAnsi="Arial" w:cs="Arial"/>
                <w:b/>
                <w:sz w:val="16"/>
                <w:szCs w:val="16"/>
              </w:rPr>
              <w:t>(2,48</w:t>
            </w:r>
            <w:r w:rsidR="008B5508">
              <w:rPr>
                <w:rFonts w:ascii="Arial" w:hAnsi="Arial" w:cs="Arial"/>
                <w:b/>
                <w:sz w:val="16"/>
                <w:szCs w:val="16"/>
              </w:rPr>
              <w:t>3,</w:t>
            </w:r>
            <w:r w:rsidR="00014A8C">
              <w:rPr>
                <w:rFonts w:ascii="Arial" w:hAnsi="Arial" w:cs="Arial"/>
                <w:b/>
                <w:sz w:val="16"/>
                <w:szCs w:val="16"/>
              </w:rPr>
              <w:t>8</w:t>
            </w:r>
            <w:r w:rsidR="00FD6936">
              <w:rPr>
                <w:rFonts w:ascii="Arial" w:hAnsi="Arial" w:cs="Arial"/>
                <w:b/>
                <w:sz w:val="16"/>
                <w:szCs w:val="16"/>
              </w:rPr>
              <w:t>6</w:t>
            </w:r>
            <w:r w:rsidR="00753159">
              <w:rPr>
                <w:rFonts w:ascii="Arial" w:hAnsi="Arial" w:cs="Arial"/>
                <w:b/>
                <w:sz w:val="16"/>
                <w:szCs w:val="16"/>
              </w:rPr>
              <w:t>9</w:t>
            </w:r>
            <w:r w:rsidRPr="00C52166">
              <w:rPr>
                <w:rFonts w:ascii="Arial" w:hAnsi="Arial" w:cs="Arial"/>
                <w:b/>
                <w:sz w:val="16"/>
                <w:szCs w:val="16"/>
              </w:rPr>
              <w:t>)</w:t>
            </w:r>
          </w:p>
        </w:tc>
        <w:tc>
          <w:tcPr>
            <w:tcW w:w="1843" w:type="dxa"/>
            <w:tcBorders>
              <w:top w:val="nil"/>
              <w:left w:val="nil"/>
              <w:bottom w:val="nil"/>
              <w:right w:val="nil"/>
            </w:tcBorders>
            <w:shd w:val="clear" w:color="auto" w:fill="auto"/>
            <w:noWrap/>
            <w:vAlign w:val="bottom"/>
          </w:tcPr>
          <w:p w14:paraId="1D682B58" w14:textId="038F149C" w:rsidR="00832DC9" w:rsidRPr="00832DC9" w:rsidRDefault="00832DC9" w:rsidP="00832DC9">
            <w:pPr>
              <w:adjustRightInd w:val="0"/>
              <w:ind w:right="312"/>
              <w:jc w:val="right"/>
              <w:rPr>
                <w:rFonts w:ascii="Arial" w:hAnsi="Arial" w:cs="Arial"/>
                <w:color w:val="000000"/>
                <w:sz w:val="16"/>
                <w:szCs w:val="16"/>
              </w:rPr>
            </w:pPr>
            <w:r w:rsidRPr="00832DC9">
              <w:rPr>
                <w:rFonts w:ascii="Arial" w:hAnsi="Arial" w:cs="Arial"/>
                <w:sz w:val="16"/>
                <w:szCs w:val="16"/>
              </w:rPr>
              <w:t>3</w:t>
            </w:r>
            <w:r w:rsidR="008B5508">
              <w:rPr>
                <w:rFonts w:ascii="Arial" w:hAnsi="Arial" w:cs="Arial"/>
                <w:sz w:val="16"/>
                <w:szCs w:val="16"/>
              </w:rPr>
              <w:t>64,37</w:t>
            </w:r>
            <w:r w:rsidR="00CD783C">
              <w:rPr>
                <w:rFonts w:ascii="Arial" w:hAnsi="Arial" w:cs="Arial"/>
                <w:sz w:val="16"/>
                <w:szCs w:val="16"/>
              </w:rPr>
              <w:t>5</w:t>
            </w:r>
          </w:p>
        </w:tc>
      </w:tr>
      <w:tr w:rsidR="00832DC9" w:rsidRPr="002234CD" w14:paraId="4AF67D22" w14:textId="77777777" w:rsidTr="007B2708">
        <w:trPr>
          <w:trHeight w:val="215"/>
        </w:trPr>
        <w:tc>
          <w:tcPr>
            <w:tcW w:w="5579" w:type="dxa"/>
            <w:tcBorders>
              <w:top w:val="nil"/>
              <w:left w:val="nil"/>
              <w:bottom w:val="nil"/>
              <w:right w:val="nil"/>
            </w:tcBorders>
            <w:shd w:val="clear" w:color="auto" w:fill="auto"/>
            <w:vAlign w:val="bottom"/>
            <w:hideMark/>
          </w:tcPr>
          <w:p w14:paraId="6C889423" w14:textId="1EAAD66E" w:rsidR="00832DC9" w:rsidRPr="002234CD" w:rsidRDefault="00832DC9" w:rsidP="00832DC9">
            <w:pPr>
              <w:rPr>
                <w:rFonts w:ascii="Arial" w:hAnsi="Arial" w:cs="Arial"/>
                <w:sz w:val="16"/>
                <w:szCs w:val="16"/>
              </w:rPr>
            </w:pPr>
            <w:r w:rsidRPr="002234CD">
              <w:rPr>
                <w:rFonts w:ascii="Arial" w:hAnsi="Arial" w:cs="Arial"/>
                <w:sz w:val="16"/>
                <w:szCs w:val="16"/>
              </w:rPr>
              <w:t>Cash and cash equivalents, beginning of year</w:t>
            </w:r>
          </w:p>
        </w:tc>
        <w:tc>
          <w:tcPr>
            <w:tcW w:w="2076" w:type="dxa"/>
            <w:tcBorders>
              <w:top w:val="nil"/>
              <w:left w:val="nil"/>
              <w:bottom w:val="nil"/>
              <w:right w:val="nil"/>
            </w:tcBorders>
            <w:shd w:val="clear" w:color="auto" w:fill="auto"/>
            <w:vAlign w:val="bottom"/>
          </w:tcPr>
          <w:p w14:paraId="4F498883" w14:textId="231B4C42" w:rsidR="00832DC9" w:rsidRPr="00C52166" w:rsidRDefault="00832DC9" w:rsidP="00832DC9">
            <w:pPr>
              <w:adjustRightInd w:val="0"/>
              <w:ind w:right="312"/>
              <w:jc w:val="right"/>
              <w:rPr>
                <w:rFonts w:ascii="Arial" w:hAnsi="Arial" w:cs="Arial"/>
                <w:b/>
                <w:sz w:val="16"/>
                <w:szCs w:val="16"/>
              </w:rPr>
            </w:pPr>
            <w:r w:rsidRPr="00C52166">
              <w:rPr>
                <w:rFonts w:ascii="Arial" w:hAnsi="Arial" w:cs="Arial"/>
                <w:b/>
                <w:sz w:val="16"/>
                <w:szCs w:val="16"/>
              </w:rPr>
              <w:t>3,</w:t>
            </w:r>
            <w:r w:rsidR="000E5C4C" w:rsidRPr="00C52166">
              <w:rPr>
                <w:rFonts w:ascii="Arial" w:hAnsi="Arial" w:cs="Arial"/>
                <w:b/>
                <w:sz w:val="16"/>
                <w:szCs w:val="16"/>
              </w:rPr>
              <w:t>511</w:t>
            </w:r>
            <w:r w:rsidRPr="00C52166">
              <w:rPr>
                <w:rFonts w:ascii="Arial" w:hAnsi="Arial" w:cs="Arial"/>
                <w:b/>
                <w:sz w:val="16"/>
                <w:szCs w:val="16"/>
              </w:rPr>
              <w:t>,0</w:t>
            </w:r>
            <w:r w:rsidR="000E5C4C" w:rsidRPr="00C52166">
              <w:rPr>
                <w:rFonts w:ascii="Arial" w:hAnsi="Arial" w:cs="Arial"/>
                <w:b/>
                <w:sz w:val="16"/>
                <w:szCs w:val="16"/>
              </w:rPr>
              <w:t>11</w:t>
            </w:r>
          </w:p>
        </w:tc>
        <w:tc>
          <w:tcPr>
            <w:tcW w:w="1843" w:type="dxa"/>
            <w:tcBorders>
              <w:top w:val="nil"/>
              <w:left w:val="nil"/>
              <w:bottom w:val="nil"/>
              <w:right w:val="nil"/>
            </w:tcBorders>
            <w:shd w:val="clear" w:color="auto" w:fill="auto"/>
            <w:noWrap/>
            <w:vAlign w:val="bottom"/>
            <w:hideMark/>
          </w:tcPr>
          <w:p w14:paraId="5306E7C6" w14:textId="0F461DA6" w:rsidR="00832DC9" w:rsidRPr="00832DC9" w:rsidRDefault="00832DC9" w:rsidP="00832DC9">
            <w:pPr>
              <w:adjustRightInd w:val="0"/>
              <w:ind w:right="312"/>
              <w:jc w:val="right"/>
              <w:rPr>
                <w:rFonts w:ascii="Arial" w:hAnsi="Arial" w:cs="Arial"/>
                <w:color w:val="000000"/>
                <w:sz w:val="16"/>
                <w:szCs w:val="16"/>
              </w:rPr>
            </w:pPr>
            <w:r w:rsidRPr="00832DC9">
              <w:rPr>
                <w:rFonts w:ascii="Arial" w:hAnsi="Arial" w:cs="Arial"/>
                <w:sz w:val="16"/>
                <w:szCs w:val="16"/>
              </w:rPr>
              <w:t>3,229,005</w:t>
            </w:r>
          </w:p>
        </w:tc>
      </w:tr>
      <w:tr w:rsidR="00832DC9" w:rsidRPr="002234CD" w14:paraId="09E62A31" w14:textId="77777777" w:rsidTr="007B2708">
        <w:trPr>
          <w:trHeight w:val="224"/>
        </w:trPr>
        <w:tc>
          <w:tcPr>
            <w:tcW w:w="5579" w:type="dxa"/>
            <w:tcBorders>
              <w:top w:val="nil"/>
              <w:left w:val="nil"/>
              <w:bottom w:val="single" w:sz="4" w:space="0" w:color="000000"/>
              <w:right w:val="nil"/>
            </w:tcBorders>
            <w:shd w:val="clear" w:color="auto" w:fill="auto"/>
            <w:vAlign w:val="bottom"/>
            <w:hideMark/>
          </w:tcPr>
          <w:p w14:paraId="6AD05B9D" w14:textId="18EE9018" w:rsidR="00832DC9" w:rsidRPr="002234CD" w:rsidRDefault="00832DC9" w:rsidP="00832DC9">
            <w:pPr>
              <w:rPr>
                <w:rFonts w:ascii="Arial" w:hAnsi="Arial" w:cs="Arial"/>
                <w:sz w:val="16"/>
                <w:szCs w:val="16"/>
              </w:rPr>
            </w:pPr>
            <w:r w:rsidRPr="002234CD">
              <w:rPr>
                <w:rFonts w:ascii="Arial" w:hAnsi="Arial" w:cs="Arial"/>
                <w:sz w:val="16"/>
                <w:szCs w:val="16"/>
              </w:rPr>
              <w:t>Effect of foreign exchange on cash and cash equivalents</w:t>
            </w:r>
          </w:p>
        </w:tc>
        <w:tc>
          <w:tcPr>
            <w:tcW w:w="2076" w:type="dxa"/>
            <w:tcBorders>
              <w:top w:val="nil"/>
              <w:left w:val="nil"/>
              <w:bottom w:val="single" w:sz="4" w:space="0" w:color="000000"/>
              <w:right w:val="nil"/>
            </w:tcBorders>
            <w:shd w:val="clear" w:color="auto" w:fill="auto"/>
            <w:vAlign w:val="bottom"/>
          </w:tcPr>
          <w:p w14:paraId="2AF8023D" w14:textId="767A9953" w:rsidR="00832DC9" w:rsidRPr="00C52166" w:rsidRDefault="008B5508" w:rsidP="00832DC9">
            <w:pPr>
              <w:adjustRightInd w:val="0"/>
              <w:ind w:right="312"/>
              <w:jc w:val="right"/>
              <w:rPr>
                <w:rFonts w:ascii="Arial" w:hAnsi="Arial" w:cs="Arial"/>
                <w:b/>
                <w:sz w:val="16"/>
                <w:szCs w:val="16"/>
              </w:rPr>
            </w:pPr>
            <w:r>
              <w:rPr>
                <w:rFonts w:ascii="Arial" w:hAnsi="Arial" w:cs="Arial"/>
                <w:b/>
                <w:sz w:val="16"/>
                <w:szCs w:val="16"/>
              </w:rPr>
              <w:t>6</w:t>
            </w:r>
            <w:r w:rsidR="00014A8C">
              <w:rPr>
                <w:rFonts w:ascii="Arial" w:hAnsi="Arial" w:cs="Arial"/>
                <w:b/>
                <w:sz w:val="16"/>
                <w:szCs w:val="16"/>
              </w:rPr>
              <w:t>9,15</w:t>
            </w:r>
            <w:r w:rsidR="00753159">
              <w:rPr>
                <w:rFonts w:ascii="Arial" w:hAnsi="Arial" w:cs="Arial"/>
                <w:b/>
                <w:sz w:val="16"/>
                <w:szCs w:val="16"/>
              </w:rPr>
              <w:t>8</w:t>
            </w:r>
          </w:p>
        </w:tc>
        <w:tc>
          <w:tcPr>
            <w:tcW w:w="1843" w:type="dxa"/>
            <w:tcBorders>
              <w:top w:val="nil"/>
              <w:left w:val="nil"/>
              <w:bottom w:val="single" w:sz="4" w:space="0" w:color="000000"/>
              <w:right w:val="nil"/>
            </w:tcBorders>
            <w:shd w:val="clear" w:color="auto" w:fill="auto"/>
            <w:noWrap/>
            <w:vAlign w:val="bottom"/>
            <w:hideMark/>
          </w:tcPr>
          <w:p w14:paraId="077AB7B4" w14:textId="2CB0542C" w:rsidR="00832DC9" w:rsidRPr="00832DC9" w:rsidRDefault="00832DC9" w:rsidP="00832DC9">
            <w:pPr>
              <w:adjustRightInd w:val="0"/>
              <w:ind w:right="312"/>
              <w:jc w:val="right"/>
              <w:rPr>
                <w:rFonts w:ascii="Arial" w:hAnsi="Arial" w:cs="Arial"/>
                <w:color w:val="000000"/>
                <w:sz w:val="16"/>
                <w:szCs w:val="16"/>
              </w:rPr>
            </w:pPr>
            <w:r w:rsidRPr="00832DC9">
              <w:rPr>
                <w:rFonts w:ascii="Arial" w:hAnsi="Arial" w:cs="Arial"/>
                <w:sz w:val="16"/>
                <w:szCs w:val="16"/>
              </w:rPr>
              <w:t>(</w:t>
            </w:r>
            <w:r w:rsidR="008B5508">
              <w:rPr>
                <w:rFonts w:ascii="Arial" w:hAnsi="Arial" w:cs="Arial"/>
                <w:sz w:val="16"/>
                <w:szCs w:val="16"/>
              </w:rPr>
              <w:t>82,369</w:t>
            </w:r>
            <w:r w:rsidRPr="00832DC9">
              <w:rPr>
                <w:rFonts w:ascii="Arial" w:hAnsi="Arial" w:cs="Arial"/>
                <w:sz w:val="16"/>
                <w:szCs w:val="16"/>
              </w:rPr>
              <w:t>)</w:t>
            </w:r>
          </w:p>
        </w:tc>
      </w:tr>
      <w:tr w:rsidR="00832DC9" w:rsidRPr="00F56223" w14:paraId="17D10712" w14:textId="77777777" w:rsidTr="007B2708">
        <w:trPr>
          <w:trHeight w:val="224"/>
        </w:trPr>
        <w:tc>
          <w:tcPr>
            <w:tcW w:w="5579" w:type="dxa"/>
            <w:tcBorders>
              <w:top w:val="nil"/>
              <w:left w:val="nil"/>
              <w:bottom w:val="single" w:sz="4" w:space="0" w:color="000000"/>
              <w:right w:val="nil"/>
            </w:tcBorders>
            <w:shd w:val="clear" w:color="auto" w:fill="auto"/>
            <w:vAlign w:val="center"/>
            <w:hideMark/>
          </w:tcPr>
          <w:p w14:paraId="5DED5D4F" w14:textId="5D6CF1DB" w:rsidR="00832DC9" w:rsidRPr="002234CD" w:rsidRDefault="00832DC9" w:rsidP="00832DC9">
            <w:pPr>
              <w:rPr>
                <w:rFonts w:ascii="Arial" w:hAnsi="Arial" w:cs="Arial"/>
                <w:sz w:val="16"/>
                <w:szCs w:val="16"/>
              </w:rPr>
            </w:pPr>
            <w:r w:rsidRPr="002234CD">
              <w:rPr>
                <w:rFonts w:ascii="Arial" w:hAnsi="Arial" w:cs="Arial"/>
                <w:b/>
                <w:bCs/>
                <w:sz w:val="16"/>
                <w:szCs w:val="16"/>
              </w:rPr>
              <w:t>Cash and cash equivalents, end of year</w:t>
            </w:r>
          </w:p>
        </w:tc>
        <w:tc>
          <w:tcPr>
            <w:tcW w:w="2076" w:type="dxa"/>
            <w:tcBorders>
              <w:top w:val="nil"/>
              <w:left w:val="nil"/>
              <w:bottom w:val="single" w:sz="4" w:space="0" w:color="000000"/>
              <w:right w:val="nil"/>
            </w:tcBorders>
            <w:shd w:val="clear" w:color="auto" w:fill="auto"/>
            <w:vAlign w:val="center"/>
          </w:tcPr>
          <w:p w14:paraId="577F4174" w14:textId="41BEF453" w:rsidR="00832DC9" w:rsidRPr="00C52166" w:rsidRDefault="004C5788" w:rsidP="00832DC9">
            <w:pPr>
              <w:adjustRightInd w:val="0"/>
              <w:ind w:right="312"/>
              <w:jc w:val="right"/>
              <w:rPr>
                <w:rFonts w:ascii="Arial" w:hAnsi="Arial" w:cs="Arial"/>
                <w:b/>
                <w:sz w:val="16"/>
                <w:szCs w:val="16"/>
              </w:rPr>
            </w:pPr>
            <w:r w:rsidRPr="00C52166">
              <w:rPr>
                <w:rFonts w:ascii="Arial" w:hAnsi="Arial" w:cs="Arial"/>
                <w:b/>
                <w:sz w:val="16"/>
                <w:szCs w:val="16"/>
              </w:rPr>
              <w:t>1</w:t>
            </w:r>
            <w:r w:rsidR="00832DC9" w:rsidRPr="00C52166">
              <w:rPr>
                <w:rFonts w:ascii="Arial" w:hAnsi="Arial" w:cs="Arial"/>
                <w:b/>
                <w:sz w:val="16"/>
                <w:szCs w:val="16"/>
              </w:rPr>
              <w:t>,</w:t>
            </w:r>
            <w:r w:rsidRPr="00C52166">
              <w:rPr>
                <w:rFonts w:ascii="Arial" w:hAnsi="Arial" w:cs="Arial"/>
                <w:b/>
                <w:sz w:val="16"/>
                <w:szCs w:val="16"/>
              </w:rPr>
              <w:t>096</w:t>
            </w:r>
            <w:r w:rsidR="00832DC9" w:rsidRPr="00C52166">
              <w:rPr>
                <w:rFonts w:ascii="Arial" w:hAnsi="Arial" w:cs="Arial"/>
                <w:b/>
                <w:sz w:val="16"/>
                <w:szCs w:val="16"/>
              </w:rPr>
              <w:t>,</w:t>
            </w:r>
            <w:r w:rsidRPr="00C52166">
              <w:rPr>
                <w:rFonts w:ascii="Arial" w:hAnsi="Arial" w:cs="Arial"/>
                <w:b/>
                <w:sz w:val="16"/>
                <w:szCs w:val="16"/>
              </w:rPr>
              <w:t>300</w:t>
            </w:r>
          </w:p>
        </w:tc>
        <w:tc>
          <w:tcPr>
            <w:tcW w:w="1843" w:type="dxa"/>
            <w:tcBorders>
              <w:top w:val="nil"/>
              <w:left w:val="nil"/>
              <w:bottom w:val="single" w:sz="4" w:space="0" w:color="000000"/>
              <w:right w:val="nil"/>
            </w:tcBorders>
            <w:shd w:val="clear" w:color="auto" w:fill="auto"/>
            <w:noWrap/>
            <w:vAlign w:val="center"/>
            <w:hideMark/>
          </w:tcPr>
          <w:p w14:paraId="47FEDF80" w14:textId="568E2CC7" w:rsidR="00832DC9" w:rsidRPr="00832DC9" w:rsidRDefault="00832DC9" w:rsidP="00832DC9">
            <w:pPr>
              <w:adjustRightInd w:val="0"/>
              <w:ind w:right="312"/>
              <w:jc w:val="right"/>
              <w:rPr>
                <w:rFonts w:ascii="Arial" w:hAnsi="Arial" w:cs="Arial"/>
                <w:color w:val="000000"/>
                <w:sz w:val="16"/>
                <w:szCs w:val="16"/>
              </w:rPr>
            </w:pPr>
            <w:r w:rsidRPr="00832DC9">
              <w:rPr>
                <w:rFonts w:ascii="Arial" w:hAnsi="Arial" w:cs="Arial"/>
                <w:sz w:val="16"/>
                <w:szCs w:val="16"/>
              </w:rPr>
              <w:t>3,511,011</w:t>
            </w:r>
          </w:p>
        </w:tc>
      </w:tr>
    </w:tbl>
    <w:p w14:paraId="06707B09" w14:textId="02BBE5D5" w:rsidR="008D12CB" w:rsidRPr="00F56223" w:rsidRDefault="008D12CB" w:rsidP="00EF3A21">
      <w:pPr>
        <w:spacing w:before="120"/>
        <w:rPr>
          <w:rFonts w:ascii="Arial" w:hAnsi="Arial" w:cs="Arial"/>
          <w:i/>
          <w:sz w:val="16"/>
        </w:rPr>
      </w:pPr>
      <w:r w:rsidRPr="00F56223">
        <w:rPr>
          <w:rFonts w:ascii="Arial" w:hAnsi="Arial" w:cs="Arial"/>
          <w:i/>
          <w:sz w:val="16"/>
        </w:rPr>
        <w:t xml:space="preserve">See accompanying notes to the </w:t>
      </w:r>
      <w:r w:rsidR="00DE5CA5" w:rsidRPr="00F56223">
        <w:rPr>
          <w:rFonts w:ascii="Arial" w:hAnsi="Arial" w:cs="Arial"/>
          <w:i/>
          <w:sz w:val="16"/>
        </w:rPr>
        <w:t>consolidated financial</w:t>
      </w:r>
      <w:r w:rsidRPr="00F56223">
        <w:rPr>
          <w:rFonts w:ascii="Arial" w:hAnsi="Arial" w:cs="Arial"/>
          <w:i/>
          <w:sz w:val="16"/>
        </w:rPr>
        <w:t xml:space="preserve"> statements</w:t>
      </w:r>
    </w:p>
    <w:p w14:paraId="0552EA75" w14:textId="77777777" w:rsidR="00035B0F" w:rsidRPr="00F56223" w:rsidRDefault="00035B0F" w:rsidP="008D12CB">
      <w:pPr>
        <w:rPr>
          <w:rFonts w:ascii="Arial" w:hAnsi="Arial" w:cs="Arial"/>
          <w:i/>
          <w:sz w:val="16"/>
        </w:rPr>
        <w:sectPr w:rsidR="00035B0F" w:rsidRPr="00F56223" w:rsidSect="004867D3">
          <w:pgSz w:w="12240" w:h="15840"/>
          <w:pgMar w:top="2220" w:right="797" w:bottom="1660" w:left="1720" w:header="1440" w:footer="1461" w:gutter="0"/>
          <w:cols w:space="720"/>
        </w:sectPr>
      </w:pPr>
    </w:p>
    <w:bookmarkEnd w:id="4"/>
    <w:p w14:paraId="6C43AB84" w14:textId="6DD9AE98" w:rsidR="001A1D15" w:rsidRPr="00F56223" w:rsidRDefault="001A1D15" w:rsidP="00F56223">
      <w:pPr>
        <w:pStyle w:val="BodyText"/>
        <w:rPr>
          <w:rFonts w:ascii="Arial" w:hAnsi="Arial" w:cs="Arial"/>
        </w:rPr>
      </w:pPr>
    </w:p>
    <w:p w14:paraId="046595A2" w14:textId="759F0241" w:rsidR="001A1D15" w:rsidRPr="00F51C2B" w:rsidRDefault="001A1D15" w:rsidP="005F4A0D">
      <w:pPr>
        <w:pStyle w:val="Heading1"/>
        <w:spacing w:before="92"/>
        <w:ind w:left="1418" w:right="2686"/>
        <w:rPr>
          <w:rFonts w:ascii="Arial" w:hAnsi="Arial" w:cs="Arial"/>
        </w:rPr>
      </w:pPr>
      <w:r w:rsidRPr="00F51C2B">
        <w:rPr>
          <w:rFonts w:ascii="Arial" w:hAnsi="Arial" w:cs="Arial"/>
        </w:rPr>
        <w:t>CONSOLIDATED STATEMENTS OF CHANGES IN EQUITY</w:t>
      </w:r>
    </w:p>
    <w:p w14:paraId="482A0A3E" w14:textId="32FC5ED2" w:rsidR="001A1D15" w:rsidRDefault="001A1D15" w:rsidP="005F4A0D">
      <w:pPr>
        <w:pStyle w:val="Heading2"/>
        <w:ind w:left="1418" w:right="2686"/>
        <w:rPr>
          <w:rFonts w:ascii="Arial" w:hAnsi="Arial" w:cs="Arial"/>
        </w:rPr>
      </w:pPr>
      <w:r w:rsidRPr="00F51C2B">
        <w:rPr>
          <w:rFonts w:ascii="Arial" w:hAnsi="Arial" w:cs="Arial"/>
        </w:rPr>
        <w:t>(Stated in Canadian Dollars)</w:t>
      </w:r>
    </w:p>
    <w:p w14:paraId="16CE670C" w14:textId="77777777" w:rsidR="007705A4" w:rsidRPr="00F56223" w:rsidRDefault="007705A4" w:rsidP="005F4A0D">
      <w:pPr>
        <w:pStyle w:val="Heading2"/>
        <w:ind w:left="1418" w:right="2686"/>
        <w:rPr>
          <w:rFonts w:ascii="Arial" w:hAnsi="Arial" w:cs="Arial"/>
        </w:rPr>
      </w:pPr>
    </w:p>
    <w:tbl>
      <w:tblPr>
        <w:tblStyle w:val="TableGrid"/>
        <w:tblpPr w:leftFromText="180" w:rightFromText="180" w:vertAnchor="text" w:horzAnchor="margin" w:tblpY="115"/>
        <w:tblW w:w="1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9"/>
        <w:gridCol w:w="1213"/>
        <w:gridCol w:w="1701"/>
        <w:gridCol w:w="1842"/>
        <w:gridCol w:w="1701"/>
        <w:gridCol w:w="1560"/>
        <w:gridCol w:w="1559"/>
      </w:tblGrid>
      <w:tr w:rsidR="00615AEE" w:rsidRPr="00F56223" w14:paraId="1AA411A5" w14:textId="77777777" w:rsidTr="005162B9">
        <w:trPr>
          <w:trHeight w:val="479"/>
        </w:trPr>
        <w:tc>
          <w:tcPr>
            <w:tcW w:w="0" w:type="auto"/>
            <w:tcBorders>
              <w:top w:val="nil"/>
              <w:left w:val="nil"/>
              <w:bottom w:val="single" w:sz="18" w:space="0" w:color="auto"/>
              <w:right w:val="nil"/>
            </w:tcBorders>
            <w:hideMark/>
          </w:tcPr>
          <w:p w14:paraId="1975F5EF" w14:textId="7392D05B" w:rsidR="00615AEE" w:rsidRPr="00832DC9" w:rsidRDefault="00615AEE" w:rsidP="00615AEE">
            <w:pPr>
              <w:spacing w:before="95"/>
              <w:ind w:left="107"/>
              <w:rPr>
                <w:rFonts w:ascii="Arial" w:hAnsi="Arial" w:cs="Arial"/>
                <w:b/>
                <w:bCs/>
                <w:noProof/>
                <w:sz w:val="16"/>
                <w:szCs w:val="16"/>
                <w:highlight w:val="yellow"/>
              </w:rPr>
            </w:pPr>
            <w:bookmarkStart w:id="5" w:name="_Hlk163764685"/>
          </w:p>
        </w:tc>
        <w:tc>
          <w:tcPr>
            <w:tcW w:w="2914" w:type="dxa"/>
            <w:gridSpan w:val="2"/>
            <w:tcBorders>
              <w:top w:val="nil"/>
              <w:left w:val="nil"/>
              <w:bottom w:val="single" w:sz="18" w:space="0" w:color="auto"/>
              <w:right w:val="nil"/>
            </w:tcBorders>
            <w:vAlign w:val="bottom"/>
            <w:hideMark/>
          </w:tcPr>
          <w:p w14:paraId="5D68A42B" w14:textId="77777777" w:rsidR="00615AEE" w:rsidRPr="005162B9" w:rsidRDefault="00615AEE" w:rsidP="00615AEE">
            <w:pPr>
              <w:spacing w:before="95"/>
              <w:ind w:left="107"/>
              <w:jc w:val="center"/>
              <w:rPr>
                <w:rFonts w:ascii="Arial" w:hAnsi="Arial" w:cs="Arial"/>
                <w:b/>
                <w:bCs/>
                <w:noProof/>
                <w:sz w:val="16"/>
                <w:szCs w:val="16"/>
              </w:rPr>
            </w:pPr>
            <w:r w:rsidRPr="005162B9">
              <w:rPr>
                <w:rFonts w:ascii="Arial" w:hAnsi="Arial" w:cs="Arial"/>
                <w:b/>
                <w:bCs/>
                <w:noProof/>
                <w:sz w:val="16"/>
                <w:szCs w:val="16"/>
              </w:rPr>
              <w:t>Share Capital</w:t>
            </w:r>
          </w:p>
        </w:tc>
        <w:tc>
          <w:tcPr>
            <w:tcW w:w="5103" w:type="dxa"/>
            <w:gridSpan w:val="3"/>
            <w:tcBorders>
              <w:top w:val="nil"/>
              <w:left w:val="nil"/>
              <w:bottom w:val="single" w:sz="18" w:space="0" w:color="auto"/>
              <w:right w:val="nil"/>
            </w:tcBorders>
            <w:vAlign w:val="bottom"/>
            <w:hideMark/>
          </w:tcPr>
          <w:p w14:paraId="126EF75E" w14:textId="77777777" w:rsidR="00615AEE" w:rsidRPr="005162B9" w:rsidRDefault="00615AEE" w:rsidP="00615AEE">
            <w:pPr>
              <w:spacing w:before="95"/>
              <w:ind w:left="107"/>
              <w:jc w:val="center"/>
              <w:rPr>
                <w:rFonts w:ascii="Arial" w:hAnsi="Arial" w:cs="Arial"/>
                <w:b/>
                <w:bCs/>
                <w:noProof/>
                <w:sz w:val="16"/>
                <w:szCs w:val="16"/>
              </w:rPr>
            </w:pPr>
            <w:r w:rsidRPr="005162B9">
              <w:rPr>
                <w:rFonts w:ascii="Arial" w:hAnsi="Arial" w:cs="Arial"/>
                <w:b/>
                <w:bCs/>
                <w:noProof/>
                <w:sz w:val="16"/>
                <w:szCs w:val="16"/>
              </w:rPr>
              <w:t>Reserves</w:t>
            </w:r>
          </w:p>
        </w:tc>
        <w:tc>
          <w:tcPr>
            <w:tcW w:w="1559" w:type="dxa"/>
            <w:tcBorders>
              <w:top w:val="nil"/>
              <w:left w:val="nil"/>
              <w:bottom w:val="single" w:sz="18" w:space="0" w:color="auto"/>
              <w:right w:val="nil"/>
            </w:tcBorders>
          </w:tcPr>
          <w:p w14:paraId="46147A49" w14:textId="77777777" w:rsidR="00615AEE" w:rsidRPr="00832DC9" w:rsidRDefault="00615AEE" w:rsidP="00615AEE">
            <w:pPr>
              <w:spacing w:before="95"/>
              <w:ind w:left="107"/>
              <w:jc w:val="center"/>
              <w:rPr>
                <w:rFonts w:ascii="Arial" w:hAnsi="Arial" w:cs="Arial"/>
                <w:b/>
                <w:bCs/>
                <w:noProof/>
                <w:sz w:val="16"/>
                <w:szCs w:val="16"/>
                <w:highlight w:val="yellow"/>
              </w:rPr>
            </w:pPr>
          </w:p>
        </w:tc>
      </w:tr>
      <w:tr w:rsidR="00615AEE" w:rsidRPr="005162B9" w14:paraId="0B45DD33" w14:textId="77777777" w:rsidTr="00934BE7">
        <w:trPr>
          <w:trHeight w:val="170"/>
        </w:trPr>
        <w:tc>
          <w:tcPr>
            <w:tcW w:w="0" w:type="auto"/>
            <w:tcBorders>
              <w:top w:val="single" w:sz="18" w:space="0" w:color="auto"/>
              <w:left w:val="nil"/>
              <w:bottom w:val="single" w:sz="4" w:space="0" w:color="FFFFFF" w:themeColor="background1"/>
              <w:right w:val="nil"/>
            </w:tcBorders>
            <w:shd w:val="clear" w:color="auto" w:fill="auto"/>
            <w:hideMark/>
          </w:tcPr>
          <w:p w14:paraId="2345B997" w14:textId="77777777" w:rsidR="00615AEE" w:rsidRPr="005162B9" w:rsidRDefault="00615AEE" w:rsidP="00615AEE">
            <w:pPr>
              <w:spacing w:before="95"/>
              <w:ind w:left="107"/>
              <w:rPr>
                <w:rFonts w:ascii="Arial" w:hAnsi="Arial" w:cs="Arial"/>
                <w:noProof/>
                <w:sz w:val="16"/>
                <w:szCs w:val="16"/>
              </w:rPr>
            </w:pPr>
            <w:r w:rsidRPr="005162B9">
              <w:rPr>
                <w:rFonts w:ascii="Arial" w:hAnsi="Arial" w:cs="Arial"/>
                <w:b/>
                <w:bCs/>
                <w:noProof/>
                <w:sz w:val="16"/>
                <w:szCs w:val="16"/>
              </w:rPr>
              <w:t>Issued and outstanding</w:t>
            </w:r>
            <w:r w:rsidRPr="005162B9">
              <w:rPr>
                <w:rFonts w:ascii="Arial" w:hAnsi="Arial" w:cs="Arial"/>
                <w:noProof/>
                <w:sz w:val="16"/>
                <w:szCs w:val="16"/>
              </w:rPr>
              <w:t>:</w:t>
            </w:r>
          </w:p>
        </w:tc>
        <w:tc>
          <w:tcPr>
            <w:tcW w:w="1213" w:type="dxa"/>
            <w:tcBorders>
              <w:top w:val="single" w:sz="18" w:space="0" w:color="auto"/>
              <w:left w:val="nil"/>
              <w:bottom w:val="single" w:sz="4" w:space="0" w:color="FFFFFF" w:themeColor="background1"/>
              <w:right w:val="nil"/>
            </w:tcBorders>
            <w:shd w:val="clear" w:color="auto" w:fill="auto"/>
            <w:vAlign w:val="bottom"/>
            <w:hideMark/>
          </w:tcPr>
          <w:p w14:paraId="44ED96BE" w14:textId="77777777" w:rsidR="00615AEE" w:rsidRPr="005162B9" w:rsidRDefault="00615AEE" w:rsidP="00615AEE">
            <w:pPr>
              <w:spacing w:before="95"/>
              <w:jc w:val="right"/>
              <w:rPr>
                <w:rFonts w:ascii="Arial" w:hAnsi="Arial" w:cs="Arial"/>
                <w:noProof/>
                <w:sz w:val="16"/>
                <w:szCs w:val="16"/>
              </w:rPr>
            </w:pPr>
            <w:r w:rsidRPr="005162B9">
              <w:rPr>
                <w:rFonts w:ascii="Arial" w:hAnsi="Arial" w:cs="Arial"/>
                <w:noProof/>
                <w:sz w:val="16"/>
                <w:szCs w:val="16"/>
              </w:rPr>
              <w:t>Number of Shares</w:t>
            </w:r>
          </w:p>
        </w:tc>
        <w:tc>
          <w:tcPr>
            <w:tcW w:w="1701" w:type="dxa"/>
            <w:tcBorders>
              <w:top w:val="single" w:sz="18" w:space="0" w:color="auto"/>
              <w:left w:val="nil"/>
              <w:bottom w:val="single" w:sz="4" w:space="0" w:color="FFFFFF" w:themeColor="background1"/>
              <w:right w:val="nil"/>
            </w:tcBorders>
            <w:shd w:val="clear" w:color="auto" w:fill="auto"/>
            <w:vAlign w:val="bottom"/>
            <w:hideMark/>
          </w:tcPr>
          <w:p w14:paraId="69BCDC66" w14:textId="77777777" w:rsidR="00615AEE" w:rsidRPr="005162B9" w:rsidRDefault="00615AEE" w:rsidP="00615AEE">
            <w:pPr>
              <w:spacing w:before="95"/>
              <w:ind w:left="107"/>
              <w:jc w:val="right"/>
              <w:rPr>
                <w:rFonts w:ascii="Arial" w:hAnsi="Arial" w:cs="Arial"/>
                <w:noProof/>
                <w:sz w:val="16"/>
                <w:szCs w:val="16"/>
              </w:rPr>
            </w:pPr>
            <w:r w:rsidRPr="005162B9">
              <w:rPr>
                <w:rFonts w:ascii="Arial" w:hAnsi="Arial" w:cs="Arial"/>
                <w:noProof/>
                <w:sz w:val="16"/>
                <w:szCs w:val="16"/>
              </w:rPr>
              <w:t>Share Capital</w:t>
            </w:r>
          </w:p>
        </w:tc>
        <w:tc>
          <w:tcPr>
            <w:tcW w:w="1842" w:type="dxa"/>
            <w:tcBorders>
              <w:top w:val="single" w:sz="18" w:space="0" w:color="auto"/>
              <w:left w:val="nil"/>
              <w:bottom w:val="single" w:sz="4" w:space="0" w:color="FFFFFF" w:themeColor="background1"/>
              <w:right w:val="nil"/>
            </w:tcBorders>
            <w:shd w:val="clear" w:color="auto" w:fill="auto"/>
            <w:vAlign w:val="bottom"/>
            <w:hideMark/>
          </w:tcPr>
          <w:p w14:paraId="0D602C0B" w14:textId="77777777" w:rsidR="00615AEE" w:rsidRPr="005162B9" w:rsidRDefault="00615AEE" w:rsidP="00615AEE">
            <w:pPr>
              <w:spacing w:before="95"/>
              <w:ind w:left="107"/>
              <w:jc w:val="center"/>
              <w:rPr>
                <w:rFonts w:ascii="Arial" w:hAnsi="Arial" w:cs="Arial"/>
                <w:noProof/>
                <w:sz w:val="16"/>
                <w:szCs w:val="16"/>
              </w:rPr>
            </w:pPr>
            <w:r w:rsidRPr="005162B9">
              <w:rPr>
                <w:rFonts w:ascii="Arial" w:hAnsi="Arial" w:cs="Arial"/>
                <w:noProof/>
                <w:sz w:val="16"/>
                <w:szCs w:val="16"/>
              </w:rPr>
              <w:t>Equity Settled Employee Benefits</w:t>
            </w:r>
          </w:p>
        </w:tc>
        <w:tc>
          <w:tcPr>
            <w:tcW w:w="1701" w:type="dxa"/>
            <w:tcBorders>
              <w:top w:val="single" w:sz="18" w:space="0" w:color="auto"/>
              <w:left w:val="nil"/>
              <w:bottom w:val="single" w:sz="4" w:space="0" w:color="FFFFFF" w:themeColor="background1"/>
              <w:right w:val="nil"/>
            </w:tcBorders>
            <w:shd w:val="clear" w:color="auto" w:fill="auto"/>
            <w:vAlign w:val="bottom"/>
            <w:hideMark/>
          </w:tcPr>
          <w:p w14:paraId="3D86668E" w14:textId="77777777" w:rsidR="00615AEE" w:rsidRPr="005162B9" w:rsidRDefault="00615AEE" w:rsidP="00615AEE">
            <w:pPr>
              <w:spacing w:before="95"/>
              <w:ind w:left="107"/>
              <w:jc w:val="center"/>
              <w:rPr>
                <w:rFonts w:ascii="Arial" w:hAnsi="Arial" w:cs="Arial"/>
                <w:noProof/>
                <w:sz w:val="16"/>
                <w:szCs w:val="16"/>
              </w:rPr>
            </w:pPr>
            <w:r w:rsidRPr="005162B9">
              <w:rPr>
                <w:rFonts w:ascii="Arial" w:hAnsi="Arial" w:cs="Arial"/>
                <w:noProof/>
                <w:sz w:val="16"/>
                <w:szCs w:val="16"/>
              </w:rPr>
              <w:t>Foreign exchange</w:t>
            </w:r>
            <w:r w:rsidRPr="005162B9">
              <w:rPr>
                <w:rFonts w:ascii="Arial" w:hAnsi="Arial" w:cs="Arial"/>
                <w:noProof/>
                <w:sz w:val="16"/>
                <w:szCs w:val="16"/>
              </w:rPr>
              <w:br/>
              <w:t>differences</w:t>
            </w:r>
          </w:p>
        </w:tc>
        <w:tc>
          <w:tcPr>
            <w:tcW w:w="1560" w:type="dxa"/>
            <w:tcBorders>
              <w:top w:val="single" w:sz="18" w:space="0" w:color="auto"/>
              <w:left w:val="nil"/>
              <w:bottom w:val="single" w:sz="4" w:space="0" w:color="FFFFFF" w:themeColor="background1"/>
              <w:right w:val="nil"/>
            </w:tcBorders>
            <w:shd w:val="clear" w:color="auto" w:fill="auto"/>
            <w:vAlign w:val="bottom"/>
            <w:hideMark/>
          </w:tcPr>
          <w:p w14:paraId="68193724" w14:textId="77777777" w:rsidR="00615AEE" w:rsidRPr="005162B9" w:rsidRDefault="00615AEE" w:rsidP="00615AEE">
            <w:pPr>
              <w:spacing w:before="95"/>
              <w:ind w:left="107"/>
              <w:jc w:val="right"/>
              <w:rPr>
                <w:rFonts w:ascii="Arial" w:hAnsi="Arial" w:cs="Arial"/>
                <w:noProof/>
                <w:sz w:val="16"/>
                <w:szCs w:val="16"/>
              </w:rPr>
            </w:pPr>
            <w:r w:rsidRPr="005162B9">
              <w:rPr>
                <w:rFonts w:ascii="Arial" w:hAnsi="Arial" w:cs="Arial"/>
                <w:noProof/>
                <w:sz w:val="16"/>
                <w:szCs w:val="16"/>
              </w:rPr>
              <w:t>Deficit</w:t>
            </w:r>
          </w:p>
        </w:tc>
        <w:tc>
          <w:tcPr>
            <w:tcW w:w="1559" w:type="dxa"/>
            <w:tcBorders>
              <w:top w:val="single" w:sz="18" w:space="0" w:color="auto"/>
              <w:left w:val="nil"/>
              <w:bottom w:val="single" w:sz="4" w:space="0" w:color="FFFFFF" w:themeColor="background1"/>
              <w:right w:val="nil"/>
            </w:tcBorders>
            <w:shd w:val="clear" w:color="auto" w:fill="auto"/>
            <w:vAlign w:val="bottom"/>
            <w:hideMark/>
          </w:tcPr>
          <w:p w14:paraId="2A654CF3" w14:textId="77777777" w:rsidR="00615AEE" w:rsidRPr="005162B9" w:rsidRDefault="00615AEE" w:rsidP="00615AEE">
            <w:pPr>
              <w:spacing w:before="95"/>
              <w:ind w:left="107"/>
              <w:jc w:val="right"/>
              <w:rPr>
                <w:rFonts w:ascii="Arial" w:hAnsi="Arial" w:cs="Arial"/>
                <w:noProof/>
                <w:sz w:val="16"/>
                <w:szCs w:val="16"/>
              </w:rPr>
            </w:pPr>
            <w:r w:rsidRPr="005162B9">
              <w:rPr>
                <w:rFonts w:ascii="Arial" w:hAnsi="Arial" w:cs="Arial"/>
                <w:noProof/>
                <w:sz w:val="16"/>
                <w:szCs w:val="16"/>
              </w:rPr>
              <w:t>Total Equity</w:t>
            </w:r>
          </w:p>
        </w:tc>
      </w:tr>
      <w:tr w:rsidR="001B3EC4" w:rsidRPr="005162B9" w14:paraId="3178F4E6" w14:textId="77777777" w:rsidTr="00934BE7">
        <w:trPr>
          <w:trHeight w:val="170"/>
        </w:trPr>
        <w:tc>
          <w:tcPr>
            <w:tcW w:w="0" w:type="auto"/>
            <w:tcBorders>
              <w:top w:val="single" w:sz="4" w:space="0" w:color="FFFFFF" w:themeColor="background1"/>
              <w:left w:val="nil"/>
              <w:bottom w:val="single" w:sz="12" w:space="0" w:color="auto"/>
              <w:right w:val="nil"/>
            </w:tcBorders>
            <w:shd w:val="clear" w:color="auto" w:fill="auto"/>
          </w:tcPr>
          <w:p w14:paraId="06FA7D02" w14:textId="77777777" w:rsidR="001B3EC4" w:rsidRPr="005162B9" w:rsidRDefault="001B3EC4" w:rsidP="00615AEE">
            <w:pPr>
              <w:spacing w:before="95"/>
              <w:ind w:left="107"/>
              <w:rPr>
                <w:rFonts w:ascii="Arial" w:hAnsi="Arial" w:cs="Arial"/>
                <w:b/>
                <w:bCs/>
                <w:noProof/>
                <w:sz w:val="16"/>
                <w:szCs w:val="16"/>
              </w:rPr>
            </w:pPr>
          </w:p>
        </w:tc>
        <w:tc>
          <w:tcPr>
            <w:tcW w:w="1213" w:type="dxa"/>
            <w:tcBorders>
              <w:top w:val="single" w:sz="4" w:space="0" w:color="FFFFFF" w:themeColor="background1"/>
              <w:left w:val="nil"/>
              <w:bottom w:val="single" w:sz="12" w:space="0" w:color="auto"/>
              <w:right w:val="nil"/>
            </w:tcBorders>
            <w:shd w:val="clear" w:color="auto" w:fill="auto"/>
            <w:vAlign w:val="bottom"/>
          </w:tcPr>
          <w:p w14:paraId="529A5D84" w14:textId="77777777" w:rsidR="001B3EC4" w:rsidRPr="001B3EC4" w:rsidRDefault="001B3EC4" w:rsidP="00615AEE">
            <w:pPr>
              <w:spacing w:before="95"/>
              <w:jc w:val="right"/>
              <w:rPr>
                <w:rFonts w:ascii="Arial" w:hAnsi="Arial" w:cs="Arial"/>
                <w:b/>
                <w:bCs/>
                <w:noProof/>
                <w:sz w:val="16"/>
                <w:szCs w:val="16"/>
              </w:rPr>
            </w:pPr>
          </w:p>
        </w:tc>
        <w:tc>
          <w:tcPr>
            <w:tcW w:w="1701" w:type="dxa"/>
            <w:tcBorders>
              <w:top w:val="single" w:sz="4" w:space="0" w:color="FFFFFF" w:themeColor="background1"/>
              <w:left w:val="nil"/>
              <w:bottom w:val="single" w:sz="12" w:space="0" w:color="auto"/>
              <w:right w:val="nil"/>
            </w:tcBorders>
            <w:shd w:val="clear" w:color="auto" w:fill="auto"/>
            <w:vAlign w:val="bottom"/>
          </w:tcPr>
          <w:p w14:paraId="0702613E" w14:textId="521F3CA5" w:rsidR="001B3EC4" w:rsidRPr="001B3EC4" w:rsidRDefault="001B3EC4" w:rsidP="00615AEE">
            <w:pPr>
              <w:spacing w:before="95"/>
              <w:ind w:left="107"/>
              <w:jc w:val="right"/>
              <w:rPr>
                <w:rFonts w:ascii="Arial" w:hAnsi="Arial" w:cs="Arial"/>
                <w:bCs/>
                <w:noProof/>
                <w:sz w:val="16"/>
                <w:szCs w:val="16"/>
              </w:rPr>
            </w:pPr>
            <w:r w:rsidRPr="001B3EC4">
              <w:rPr>
                <w:rFonts w:ascii="Arial" w:hAnsi="Arial" w:cs="Arial"/>
                <w:bCs/>
                <w:noProof/>
                <w:sz w:val="16"/>
                <w:szCs w:val="16"/>
              </w:rPr>
              <w:t>$</w:t>
            </w:r>
          </w:p>
        </w:tc>
        <w:tc>
          <w:tcPr>
            <w:tcW w:w="1842" w:type="dxa"/>
            <w:tcBorders>
              <w:top w:val="single" w:sz="4" w:space="0" w:color="FFFFFF" w:themeColor="background1"/>
              <w:left w:val="nil"/>
              <w:bottom w:val="single" w:sz="12" w:space="0" w:color="auto"/>
              <w:right w:val="nil"/>
            </w:tcBorders>
            <w:shd w:val="clear" w:color="auto" w:fill="auto"/>
            <w:vAlign w:val="bottom"/>
          </w:tcPr>
          <w:p w14:paraId="01593FE0" w14:textId="1161F5D0" w:rsidR="001B3EC4" w:rsidRPr="001B3EC4" w:rsidRDefault="001B3EC4" w:rsidP="00615AEE">
            <w:pPr>
              <w:spacing w:before="95"/>
              <w:ind w:left="107"/>
              <w:jc w:val="center"/>
              <w:rPr>
                <w:rFonts w:ascii="Arial" w:hAnsi="Arial" w:cs="Arial"/>
                <w:bCs/>
                <w:noProof/>
                <w:sz w:val="16"/>
                <w:szCs w:val="16"/>
              </w:rPr>
            </w:pPr>
            <w:r>
              <w:rPr>
                <w:rFonts w:ascii="Arial" w:hAnsi="Arial" w:cs="Arial"/>
                <w:bCs/>
                <w:noProof/>
                <w:sz w:val="16"/>
                <w:szCs w:val="16"/>
              </w:rPr>
              <w:t>$</w:t>
            </w:r>
          </w:p>
        </w:tc>
        <w:tc>
          <w:tcPr>
            <w:tcW w:w="1701" w:type="dxa"/>
            <w:tcBorders>
              <w:top w:val="single" w:sz="4" w:space="0" w:color="FFFFFF" w:themeColor="background1"/>
              <w:left w:val="nil"/>
              <w:bottom w:val="single" w:sz="12" w:space="0" w:color="auto"/>
              <w:right w:val="nil"/>
            </w:tcBorders>
            <w:shd w:val="clear" w:color="auto" w:fill="auto"/>
            <w:vAlign w:val="bottom"/>
          </w:tcPr>
          <w:p w14:paraId="57F41844" w14:textId="5B052842" w:rsidR="001B3EC4" w:rsidRPr="001B3EC4" w:rsidRDefault="001B3EC4" w:rsidP="00615AEE">
            <w:pPr>
              <w:spacing w:before="95"/>
              <w:ind w:left="107"/>
              <w:jc w:val="center"/>
              <w:rPr>
                <w:rFonts w:ascii="Arial" w:hAnsi="Arial" w:cs="Arial"/>
                <w:bCs/>
                <w:noProof/>
                <w:sz w:val="16"/>
                <w:szCs w:val="16"/>
              </w:rPr>
            </w:pPr>
            <w:r w:rsidRPr="001B3EC4">
              <w:rPr>
                <w:rFonts w:ascii="Arial" w:hAnsi="Arial" w:cs="Arial"/>
                <w:bCs/>
                <w:noProof/>
                <w:sz w:val="16"/>
                <w:szCs w:val="16"/>
              </w:rPr>
              <w:t>$</w:t>
            </w:r>
          </w:p>
        </w:tc>
        <w:tc>
          <w:tcPr>
            <w:tcW w:w="1560" w:type="dxa"/>
            <w:tcBorders>
              <w:top w:val="single" w:sz="4" w:space="0" w:color="FFFFFF" w:themeColor="background1"/>
              <w:left w:val="nil"/>
              <w:bottom w:val="single" w:sz="12" w:space="0" w:color="auto"/>
              <w:right w:val="nil"/>
            </w:tcBorders>
            <w:shd w:val="clear" w:color="auto" w:fill="auto"/>
            <w:vAlign w:val="bottom"/>
          </w:tcPr>
          <w:p w14:paraId="4A53C2C5" w14:textId="6FE641C4" w:rsidR="001B3EC4" w:rsidRPr="001B3EC4" w:rsidRDefault="001B3EC4" w:rsidP="00615AEE">
            <w:pPr>
              <w:spacing w:before="95"/>
              <w:ind w:left="107"/>
              <w:jc w:val="right"/>
              <w:rPr>
                <w:rFonts w:ascii="Arial" w:hAnsi="Arial" w:cs="Arial"/>
                <w:bCs/>
                <w:noProof/>
                <w:sz w:val="16"/>
                <w:szCs w:val="16"/>
              </w:rPr>
            </w:pPr>
            <w:r w:rsidRPr="001B3EC4">
              <w:rPr>
                <w:rFonts w:ascii="Arial" w:hAnsi="Arial" w:cs="Arial"/>
                <w:bCs/>
                <w:noProof/>
                <w:sz w:val="16"/>
                <w:szCs w:val="16"/>
              </w:rPr>
              <w:t>$</w:t>
            </w:r>
          </w:p>
        </w:tc>
        <w:tc>
          <w:tcPr>
            <w:tcW w:w="1559" w:type="dxa"/>
            <w:tcBorders>
              <w:top w:val="single" w:sz="4" w:space="0" w:color="FFFFFF" w:themeColor="background1"/>
              <w:left w:val="nil"/>
              <w:bottom w:val="single" w:sz="12" w:space="0" w:color="auto"/>
              <w:right w:val="nil"/>
            </w:tcBorders>
            <w:shd w:val="clear" w:color="auto" w:fill="auto"/>
            <w:vAlign w:val="bottom"/>
          </w:tcPr>
          <w:p w14:paraId="0A63CB3F" w14:textId="6F75FB94" w:rsidR="001B3EC4" w:rsidRPr="001B3EC4" w:rsidRDefault="001B3EC4" w:rsidP="00615AEE">
            <w:pPr>
              <w:spacing w:before="95"/>
              <w:ind w:left="107"/>
              <w:jc w:val="right"/>
              <w:rPr>
                <w:rFonts w:ascii="Arial" w:hAnsi="Arial" w:cs="Arial"/>
                <w:bCs/>
                <w:noProof/>
                <w:sz w:val="16"/>
                <w:szCs w:val="16"/>
              </w:rPr>
            </w:pPr>
            <w:r w:rsidRPr="001B3EC4">
              <w:rPr>
                <w:rFonts w:ascii="Arial" w:hAnsi="Arial" w:cs="Arial"/>
                <w:bCs/>
                <w:noProof/>
                <w:sz w:val="16"/>
                <w:szCs w:val="16"/>
              </w:rPr>
              <w:t>$</w:t>
            </w:r>
          </w:p>
        </w:tc>
      </w:tr>
      <w:tr w:rsidR="00BA5BFA" w:rsidRPr="005162B9" w14:paraId="505D052D" w14:textId="77777777" w:rsidTr="005162B9">
        <w:trPr>
          <w:trHeight w:val="411"/>
        </w:trPr>
        <w:tc>
          <w:tcPr>
            <w:tcW w:w="0" w:type="auto"/>
            <w:tcBorders>
              <w:top w:val="single" w:sz="12" w:space="0" w:color="auto"/>
              <w:left w:val="nil"/>
              <w:bottom w:val="single" w:sz="18" w:space="0" w:color="auto"/>
              <w:right w:val="nil"/>
            </w:tcBorders>
            <w:hideMark/>
          </w:tcPr>
          <w:p w14:paraId="1243959E" w14:textId="2C33E82D" w:rsidR="00BA5BFA" w:rsidRPr="005162B9" w:rsidRDefault="00BA5BFA" w:rsidP="00BA5BFA">
            <w:pPr>
              <w:spacing w:before="95"/>
              <w:ind w:left="107"/>
              <w:rPr>
                <w:rFonts w:ascii="Arial" w:hAnsi="Arial" w:cs="Arial"/>
                <w:b/>
                <w:bCs/>
                <w:noProof/>
                <w:sz w:val="16"/>
                <w:szCs w:val="16"/>
              </w:rPr>
            </w:pPr>
            <w:r w:rsidRPr="005162B9">
              <w:rPr>
                <w:rFonts w:ascii="Arial" w:hAnsi="Arial" w:cs="Arial"/>
                <w:b/>
                <w:bCs/>
                <w:noProof/>
                <w:sz w:val="16"/>
                <w:szCs w:val="16"/>
              </w:rPr>
              <w:t>Balance as at</w:t>
            </w:r>
            <w:r w:rsidRPr="005162B9">
              <w:rPr>
                <w:rFonts w:ascii="Arial" w:hAnsi="Arial" w:cs="Arial"/>
                <w:b/>
                <w:bCs/>
                <w:noProof/>
                <w:sz w:val="16"/>
                <w:szCs w:val="16"/>
              </w:rPr>
              <w:br/>
              <w:t>December 31, 20</w:t>
            </w:r>
            <w:r w:rsidR="00AE0886" w:rsidRPr="005162B9">
              <w:rPr>
                <w:rFonts w:ascii="Arial" w:hAnsi="Arial" w:cs="Arial"/>
                <w:b/>
                <w:bCs/>
                <w:noProof/>
                <w:sz w:val="16"/>
                <w:szCs w:val="16"/>
              </w:rPr>
              <w:t>2</w:t>
            </w:r>
            <w:r w:rsidR="005162B9" w:rsidRPr="005162B9">
              <w:rPr>
                <w:rFonts w:ascii="Arial" w:hAnsi="Arial" w:cs="Arial"/>
                <w:b/>
                <w:bCs/>
                <w:noProof/>
                <w:sz w:val="16"/>
                <w:szCs w:val="16"/>
              </w:rPr>
              <w:t>1</w:t>
            </w:r>
          </w:p>
        </w:tc>
        <w:tc>
          <w:tcPr>
            <w:tcW w:w="1213" w:type="dxa"/>
            <w:tcBorders>
              <w:top w:val="single" w:sz="12" w:space="0" w:color="auto"/>
              <w:left w:val="nil"/>
              <w:bottom w:val="single" w:sz="18" w:space="0" w:color="auto"/>
              <w:right w:val="nil"/>
            </w:tcBorders>
            <w:vAlign w:val="bottom"/>
            <w:hideMark/>
          </w:tcPr>
          <w:p w14:paraId="45CF88B1" w14:textId="129A07C7" w:rsidR="00BA5BFA" w:rsidRPr="005162B9" w:rsidRDefault="00BA5BFA" w:rsidP="00BA5BFA">
            <w:pPr>
              <w:spacing w:before="95"/>
              <w:ind w:left="107"/>
              <w:jc w:val="right"/>
              <w:rPr>
                <w:rFonts w:ascii="Arial" w:hAnsi="Arial" w:cs="Arial"/>
                <w:b/>
                <w:bCs/>
                <w:noProof/>
                <w:sz w:val="16"/>
                <w:szCs w:val="16"/>
              </w:rPr>
            </w:pPr>
            <w:r w:rsidRPr="005162B9">
              <w:rPr>
                <w:rFonts w:ascii="Arial" w:hAnsi="Arial" w:cs="Arial"/>
                <w:b/>
                <w:bCs/>
                <w:noProof/>
                <w:sz w:val="16"/>
                <w:szCs w:val="16"/>
              </w:rPr>
              <w:t>1</w:t>
            </w:r>
            <w:r w:rsidR="005162B9" w:rsidRPr="005162B9">
              <w:rPr>
                <w:rFonts w:ascii="Arial" w:hAnsi="Arial" w:cs="Arial"/>
                <w:b/>
                <w:bCs/>
                <w:noProof/>
                <w:sz w:val="16"/>
                <w:szCs w:val="16"/>
              </w:rPr>
              <w:t>52,818,670</w:t>
            </w:r>
          </w:p>
        </w:tc>
        <w:tc>
          <w:tcPr>
            <w:tcW w:w="1701" w:type="dxa"/>
            <w:tcBorders>
              <w:top w:val="single" w:sz="12" w:space="0" w:color="auto"/>
              <w:left w:val="nil"/>
              <w:bottom w:val="single" w:sz="18" w:space="0" w:color="auto"/>
              <w:right w:val="nil"/>
            </w:tcBorders>
            <w:noWrap/>
            <w:vAlign w:val="bottom"/>
            <w:hideMark/>
          </w:tcPr>
          <w:p w14:paraId="45BBD447" w14:textId="4FA39369" w:rsidR="00BA5BFA" w:rsidRPr="005162B9" w:rsidRDefault="00BA5BFA" w:rsidP="00BA5BFA">
            <w:pPr>
              <w:spacing w:before="95"/>
              <w:ind w:left="107"/>
              <w:jc w:val="right"/>
              <w:rPr>
                <w:rFonts w:ascii="Arial" w:hAnsi="Arial" w:cs="Arial"/>
                <w:b/>
                <w:bCs/>
                <w:noProof/>
                <w:sz w:val="16"/>
                <w:szCs w:val="16"/>
              </w:rPr>
            </w:pPr>
            <w:r w:rsidRPr="005162B9">
              <w:rPr>
                <w:rFonts w:ascii="Arial" w:hAnsi="Arial" w:cs="Arial"/>
                <w:b/>
                <w:bCs/>
                <w:noProof/>
                <w:sz w:val="16"/>
                <w:szCs w:val="16"/>
              </w:rPr>
              <w:t>3</w:t>
            </w:r>
            <w:r w:rsidR="005162B9" w:rsidRPr="005162B9">
              <w:rPr>
                <w:rFonts w:ascii="Arial" w:hAnsi="Arial" w:cs="Arial"/>
                <w:b/>
                <w:bCs/>
                <w:noProof/>
                <w:sz w:val="16"/>
                <w:szCs w:val="16"/>
              </w:rPr>
              <w:t>9,331,498</w:t>
            </w:r>
          </w:p>
        </w:tc>
        <w:tc>
          <w:tcPr>
            <w:tcW w:w="1842" w:type="dxa"/>
            <w:tcBorders>
              <w:top w:val="single" w:sz="12" w:space="0" w:color="auto"/>
              <w:left w:val="nil"/>
              <w:bottom w:val="single" w:sz="18" w:space="0" w:color="auto"/>
              <w:right w:val="nil"/>
            </w:tcBorders>
            <w:noWrap/>
            <w:vAlign w:val="bottom"/>
            <w:hideMark/>
          </w:tcPr>
          <w:p w14:paraId="51CB89CC" w14:textId="2460CD9F" w:rsidR="00BA5BFA" w:rsidRPr="005162B9" w:rsidRDefault="005162B9" w:rsidP="00BA5BFA">
            <w:pPr>
              <w:spacing w:before="95"/>
              <w:ind w:left="107"/>
              <w:jc w:val="right"/>
              <w:rPr>
                <w:rFonts w:ascii="Arial" w:hAnsi="Arial" w:cs="Arial"/>
                <w:b/>
                <w:bCs/>
                <w:noProof/>
                <w:sz w:val="16"/>
                <w:szCs w:val="16"/>
              </w:rPr>
            </w:pPr>
            <w:r w:rsidRPr="005162B9">
              <w:rPr>
                <w:rFonts w:ascii="Arial" w:hAnsi="Arial" w:cs="Arial"/>
                <w:b/>
                <w:bCs/>
                <w:noProof/>
                <w:sz w:val="16"/>
                <w:szCs w:val="16"/>
              </w:rPr>
              <w:t>2,082,236</w:t>
            </w:r>
          </w:p>
        </w:tc>
        <w:tc>
          <w:tcPr>
            <w:tcW w:w="1701" w:type="dxa"/>
            <w:tcBorders>
              <w:top w:val="single" w:sz="12" w:space="0" w:color="auto"/>
              <w:left w:val="nil"/>
              <w:bottom w:val="single" w:sz="18" w:space="0" w:color="auto"/>
              <w:right w:val="nil"/>
            </w:tcBorders>
            <w:noWrap/>
            <w:vAlign w:val="bottom"/>
            <w:hideMark/>
          </w:tcPr>
          <w:p w14:paraId="0872476E" w14:textId="2476FE4D" w:rsidR="00BA5BFA" w:rsidRPr="005162B9" w:rsidRDefault="00BA5BFA" w:rsidP="00BA5BFA">
            <w:pPr>
              <w:spacing w:before="95"/>
              <w:ind w:left="107"/>
              <w:jc w:val="right"/>
              <w:rPr>
                <w:rFonts w:ascii="Arial" w:hAnsi="Arial" w:cs="Arial"/>
                <w:b/>
                <w:bCs/>
                <w:noProof/>
                <w:sz w:val="16"/>
                <w:szCs w:val="16"/>
              </w:rPr>
            </w:pPr>
            <w:r w:rsidRPr="005162B9">
              <w:rPr>
                <w:rFonts w:ascii="Arial" w:hAnsi="Arial" w:cs="Arial"/>
                <w:b/>
                <w:bCs/>
                <w:noProof/>
                <w:sz w:val="16"/>
                <w:szCs w:val="16"/>
              </w:rPr>
              <w:t xml:space="preserve"> (1</w:t>
            </w:r>
            <w:r w:rsidR="005162B9" w:rsidRPr="005162B9">
              <w:rPr>
                <w:rFonts w:ascii="Arial" w:hAnsi="Arial" w:cs="Arial"/>
                <w:b/>
                <w:bCs/>
                <w:noProof/>
                <w:sz w:val="16"/>
                <w:szCs w:val="16"/>
              </w:rPr>
              <w:t>96,519</w:t>
            </w:r>
            <w:r w:rsidRPr="005162B9">
              <w:rPr>
                <w:rFonts w:ascii="Arial" w:hAnsi="Arial" w:cs="Arial"/>
                <w:b/>
                <w:bCs/>
                <w:noProof/>
                <w:sz w:val="16"/>
                <w:szCs w:val="16"/>
              </w:rPr>
              <w:t>)</w:t>
            </w:r>
          </w:p>
        </w:tc>
        <w:tc>
          <w:tcPr>
            <w:tcW w:w="1560" w:type="dxa"/>
            <w:tcBorders>
              <w:top w:val="single" w:sz="12" w:space="0" w:color="auto"/>
              <w:left w:val="nil"/>
              <w:bottom w:val="single" w:sz="18" w:space="0" w:color="auto"/>
              <w:right w:val="nil"/>
            </w:tcBorders>
            <w:noWrap/>
            <w:vAlign w:val="bottom"/>
            <w:hideMark/>
          </w:tcPr>
          <w:p w14:paraId="232B0527" w14:textId="24895959" w:rsidR="00BA5BFA" w:rsidRPr="005162B9" w:rsidRDefault="00BA5BFA" w:rsidP="00BA5BFA">
            <w:pPr>
              <w:spacing w:before="95"/>
              <w:ind w:left="107"/>
              <w:jc w:val="right"/>
              <w:rPr>
                <w:rFonts w:ascii="Arial" w:hAnsi="Arial" w:cs="Arial"/>
                <w:b/>
                <w:bCs/>
                <w:noProof/>
                <w:sz w:val="16"/>
                <w:szCs w:val="16"/>
              </w:rPr>
            </w:pPr>
            <w:r w:rsidRPr="005162B9">
              <w:rPr>
                <w:rFonts w:ascii="Arial" w:hAnsi="Arial" w:cs="Arial"/>
                <w:b/>
                <w:bCs/>
                <w:noProof/>
                <w:sz w:val="16"/>
                <w:szCs w:val="16"/>
              </w:rPr>
              <w:t xml:space="preserve"> (3</w:t>
            </w:r>
            <w:r w:rsidR="005162B9" w:rsidRPr="005162B9">
              <w:rPr>
                <w:rFonts w:ascii="Arial" w:hAnsi="Arial" w:cs="Arial"/>
                <w:b/>
                <w:bCs/>
                <w:noProof/>
                <w:sz w:val="16"/>
                <w:szCs w:val="16"/>
              </w:rPr>
              <w:t>8,147,178</w:t>
            </w:r>
            <w:r w:rsidRPr="005162B9">
              <w:rPr>
                <w:rFonts w:ascii="Arial" w:hAnsi="Arial" w:cs="Arial"/>
                <w:b/>
                <w:bCs/>
                <w:noProof/>
                <w:sz w:val="16"/>
                <w:szCs w:val="16"/>
              </w:rPr>
              <w:t>)</w:t>
            </w:r>
          </w:p>
        </w:tc>
        <w:tc>
          <w:tcPr>
            <w:tcW w:w="1559" w:type="dxa"/>
            <w:tcBorders>
              <w:top w:val="single" w:sz="12" w:space="0" w:color="auto"/>
              <w:left w:val="nil"/>
              <w:bottom w:val="single" w:sz="18" w:space="0" w:color="auto"/>
              <w:right w:val="nil"/>
            </w:tcBorders>
            <w:noWrap/>
            <w:vAlign w:val="bottom"/>
            <w:hideMark/>
          </w:tcPr>
          <w:p w14:paraId="447179DE" w14:textId="614FEE7F" w:rsidR="00BA5BFA" w:rsidRPr="005162B9" w:rsidRDefault="005162B9" w:rsidP="00BA5BFA">
            <w:pPr>
              <w:spacing w:before="95"/>
              <w:ind w:left="107"/>
              <w:jc w:val="right"/>
              <w:rPr>
                <w:rFonts w:ascii="Arial" w:hAnsi="Arial" w:cs="Arial"/>
                <w:b/>
                <w:bCs/>
                <w:noProof/>
                <w:sz w:val="16"/>
                <w:szCs w:val="16"/>
              </w:rPr>
            </w:pPr>
            <w:r w:rsidRPr="005162B9">
              <w:rPr>
                <w:rFonts w:ascii="Arial" w:hAnsi="Arial" w:cs="Arial"/>
                <w:b/>
                <w:bCs/>
                <w:noProof/>
                <w:sz w:val="16"/>
                <w:szCs w:val="16"/>
              </w:rPr>
              <w:t>3,070,037</w:t>
            </w:r>
          </w:p>
        </w:tc>
      </w:tr>
      <w:tr w:rsidR="00BA5BFA" w:rsidRPr="005162B9" w14:paraId="3D2B0AA7" w14:textId="77777777" w:rsidTr="005162B9">
        <w:trPr>
          <w:trHeight w:hRule="exact" w:val="359"/>
        </w:trPr>
        <w:tc>
          <w:tcPr>
            <w:tcW w:w="3749" w:type="dxa"/>
            <w:tcBorders>
              <w:top w:val="single" w:sz="18" w:space="0" w:color="auto"/>
              <w:left w:val="nil"/>
              <w:bottom w:val="nil"/>
              <w:right w:val="nil"/>
            </w:tcBorders>
            <w:vAlign w:val="bottom"/>
            <w:hideMark/>
          </w:tcPr>
          <w:p w14:paraId="1B9C6CC9" w14:textId="0D77F942" w:rsidR="00BA5BFA" w:rsidRPr="005162B9" w:rsidRDefault="00BA5BFA" w:rsidP="00BA5BFA">
            <w:pPr>
              <w:spacing w:before="95"/>
              <w:ind w:left="107"/>
              <w:rPr>
                <w:rFonts w:ascii="Arial" w:hAnsi="Arial" w:cs="Arial"/>
                <w:noProof/>
                <w:sz w:val="16"/>
                <w:szCs w:val="16"/>
              </w:rPr>
            </w:pPr>
            <w:r w:rsidRPr="005162B9">
              <w:rPr>
                <w:rFonts w:ascii="Arial" w:hAnsi="Arial" w:cs="Arial"/>
                <w:noProof/>
                <w:sz w:val="16"/>
                <w:szCs w:val="16"/>
              </w:rPr>
              <w:t>Share based payments</w:t>
            </w:r>
            <w:r w:rsidRPr="005162B9">
              <w:rPr>
                <w:rFonts w:ascii="Arial" w:hAnsi="Arial" w:cs="Arial"/>
                <w:i/>
                <w:iCs/>
                <w:noProof/>
                <w:sz w:val="16"/>
                <w:szCs w:val="16"/>
              </w:rPr>
              <w:t xml:space="preserve"> [note </w:t>
            </w:r>
            <w:r w:rsidR="005E2F0E" w:rsidRPr="005162B9">
              <w:rPr>
                <w:rFonts w:ascii="Arial" w:hAnsi="Arial" w:cs="Arial"/>
                <w:i/>
                <w:iCs/>
                <w:noProof/>
                <w:sz w:val="16"/>
                <w:szCs w:val="16"/>
              </w:rPr>
              <w:t>8</w:t>
            </w:r>
            <w:r w:rsidRPr="005162B9">
              <w:rPr>
                <w:rFonts w:ascii="Arial" w:hAnsi="Arial" w:cs="Arial"/>
                <w:i/>
                <w:iCs/>
                <w:noProof/>
                <w:sz w:val="16"/>
                <w:szCs w:val="16"/>
              </w:rPr>
              <w:t>]</w:t>
            </w:r>
          </w:p>
        </w:tc>
        <w:tc>
          <w:tcPr>
            <w:tcW w:w="1213" w:type="dxa"/>
            <w:tcBorders>
              <w:top w:val="single" w:sz="18" w:space="0" w:color="auto"/>
              <w:left w:val="nil"/>
              <w:bottom w:val="nil"/>
              <w:right w:val="nil"/>
            </w:tcBorders>
            <w:vAlign w:val="bottom"/>
            <w:hideMark/>
          </w:tcPr>
          <w:p w14:paraId="5B0621E6" w14:textId="142C88A7" w:rsidR="00BA5BFA" w:rsidRPr="005162B9" w:rsidRDefault="00BA5BFA" w:rsidP="00BA5BFA">
            <w:pPr>
              <w:spacing w:before="95"/>
              <w:ind w:left="107"/>
              <w:jc w:val="right"/>
              <w:rPr>
                <w:rFonts w:ascii="Arial" w:hAnsi="Arial" w:cs="Arial"/>
                <w:noProof/>
                <w:sz w:val="16"/>
                <w:szCs w:val="16"/>
              </w:rPr>
            </w:pPr>
            <w:r w:rsidRPr="005162B9">
              <w:rPr>
                <w:rFonts w:ascii="Arial" w:hAnsi="Arial" w:cs="Arial"/>
                <w:noProof/>
                <w:sz w:val="16"/>
                <w:szCs w:val="16"/>
              </w:rPr>
              <w:t>-</w:t>
            </w:r>
          </w:p>
        </w:tc>
        <w:tc>
          <w:tcPr>
            <w:tcW w:w="1701" w:type="dxa"/>
            <w:tcBorders>
              <w:top w:val="single" w:sz="18" w:space="0" w:color="auto"/>
              <w:left w:val="nil"/>
              <w:bottom w:val="nil"/>
              <w:right w:val="nil"/>
            </w:tcBorders>
            <w:noWrap/>
            <w:vAlign w:val="bottom"/>
            <w:hideMark/>
          </w:tcPr>
          <w:p w14:paraId="154F6E51" w14:textId="41A4CCE6" w:rsidR="00BA5BFA" w:rsidRPr="005162B9" w:rsidRDefault="00BA5BFA" w:rsidP="00BA5BFA">
            <w:pPr>
              <w:spacing w:before="95"/>
              <w:ind w:left="107"/>
              <w:jc w:val="right"/>
              <w:rPr>
                <w:rFonts w:ascii="Arial" w:hAnsi="Arial" w:cs="Arial"/>
                <w:noProof/>
                <w:sz w:val="16"/>
                <w:szCs w:val="16"/>
              </w:rPr>
            </w:pPr>
            <w:r w:rsidRPr="005162B9">
              <w:rPr>
                <w:rFonts w:ascii="Arial" w:hAnsi="Arial" w:cs="Arial"/>
                <w:noProof/>
                <w:sz w:val="16"/>
                <w:szCs w:val="16"/>
              </w:rPr>
              <w:t>-</w:t>
            </w:r>
          </w:p>
        </w:tc>
        <w:tc>
          <w:tcPr>
            <w:tcW w:w="1842" w:type="dxa"/>
            <w:tcBorders>
              <w:top w:val="single" w:sz="18" w:space="0" w:color="auto"/>
              <w:left w:val="nil"/>
              <w:bottom w:val="nil"/>
              <w:right w:val="nil"/>
            </w:tcBorders>
            <w:vAlign w:val="bottom"/>
            <w:hideMark/>
          </w:tcPr>
          <w:p w14:paraId="2347D346" w14:textId="194A5D67" w:rsidR="00BA5BFA" w:rsidRPr="005162B9" w:rsidRDefault="005162B9" w:rsidP="00BA5BFA">
            <w:pPr>
              <w:spacing w:before="95"/>
              <w:ind w:left="107"/>
              <w:jc w:val="right"/>
              <w:rPr>
                <w:rFonts w:ascii="Arial" w:hAnsi="Arial" w:cs="Arial"/>
                <w:noProof/>
                <w:sz w:val="16"/>
                <w:szCs w:val="16"/>
              </w:rPr>
            </w:pPr>
            <w:r w:rsidRPr="005162B9">
              <w:rPr>
                <w:rFonts w:ascii="Arial" w:hAnsi="Arial" w:cs="Arial"/>
                <w:noProof/>
                <w:sz w:val="16"/>
                <w:szCs w:val="16"/>
              </w:rPr>
              <w:t>405,849</w:t>
            </w:r>
          </w:p>
        </w:tc>
        <w:tc>
          <w:tcPr>
            <w:tcW w:w="1701" w:type="dxa"/>
            <w:tcBorders>
              <w:top w:val="single" w:sz="18" w:space="0" w:color="auto"/>
              <w:left w:val="nil"/>
              <w:bottom w:val="nil"/>
              <w:right w:val="nil"/>
            </w:tcBorders>
            <w:vAlign w:val="bottom"/>
            <w:hideMark/>
          </w:tcPr>
          <w:p w14:paraId="1580E09A" w14:textId="448A62DE" w:rsidR="00BA5BFA" w:rsidRPr="005162B9" w:rsidRDefault="00BA5BFA" w:rsidP="00BA5BFA">
            <w:pPr>
              <w:spacing w:before="95"/>
              <w:ind w:left="107"/>
              <w:jc w:val="right"/>
              <w:rPr>
                <w:rFonts w:ascii="Arial" w:hAnsi="Arial" w:cs="Arial"/>
                <w:noProof/>
                <w:sz w:val="16"/>
                <w:szCs w:val="16"/>
              </w:rPr>
            </w:pPr>
            <w:r w:rsidRPr="005162B9">
              <w:rPr>
                <w:rFonts w:ascii="Arial" w:hAnsi="Arial" w:cs="Arial"/>
                <w:noProof/>
                <w:sz w:val="16"/>
                <w:szCs w:val="16"/>
              </w:rPr>
              <w:t>-</w:t>
            </w:r>
          </w:p>
        </w:tc>
        <w:tc>
          <w:tcPr>
            <w:tcW w:w="1560" w:type="dxa"/>
            <w:tcBorders>
              <w:top w:val="single" w:sz="18" w:space="0" w:color="auto"/>
              <w:left w:val="nil"/>
              <w:bottom w:val="nil"/>
              <w:right w:val="nil"/>
            </w:tcBorders>
            <w:vAlign w:val="bottom"/>
            <w:hideMark/>
          </w:tcPr>
          <w:p w14:paraId="0C3521F4" w14:textId="6C91C25D" w:rsidR="00BA5BFA" w:rsidRPr="005162B9" w:rsidRDefault="00BA5BFA" w:rsidP="00BA5BFA">
            <w:pPr>
              <w:spacing w:before="95"/>
              <w:ind w:left="107"/>
              <w:jc w:val="right"/>
              <w:rPr>
                <w:rFonts w:ascii="Arial" w:hAnsi="Arial" w:cs="Arial"/>
                <w:noProof/>
                <w:sz w:val="16"/>
                <w:szCs w:val="16"/>
              </w:rPr>
            </w:pPr>
            <w:r w:rsidRPr="005162B9">
              <w:rPr>
                <w:rFonts w:ascii="Arial" w:hAnsi="Arial" w:cs="Arial"/>
                <w:noProof/>
                <w:sz w:val="16"/>
                <w:szCs w:val="16"/>
              </w:rPr>
              <w:t>-</w:t>
            </w:r>
          </w:p>
        </w:tc>
        <w:tc>
          <w:tcPr>
            <w:tcW w:w="1559" w:type="dxa"/>
            <w:tcBorders>
              <w:top w:val="single" w:sz="18" w:space="0" w:color="auto"/>
              <w:left w:val="nil"/>
              <w:bottom w:val="nil"/>
              <w:right w:val="nil"/>
            </w:tcBorders>
            <w:noWrap/>
            <w:vAlign w:val="bottom"/>
            <w:hideMark/>
          </w:tcPr>
          <w:p w14:paraId="6D645558" w14:textId="23B78A80" w:rsidR="00BA5BFA" w:rsidRPr="005162B9" w:rsidRDefault="005162B9" w:rsidP="00BA5BFA">
            <w:pPr>
              <w:spacing w:before="95"/>
              <w:ind w:left="107"/>
              <w:jc w:val="right"/>
              <w:rPr>
                <w:rFonts w:ascii="Arial" w:hAnsi="Arial" w:cs="Arial"/>
                <w:noProof/>
                <w:sz w:val="16"/>
                <w:szCs w:val="16"/>
              </w:rPr>
            </w:pPr>
            <w:r w:rsidRPr="005162B9">
              <w:rPr>
                <w:rFonts w:ascii="Arial" w:hAnsi="Arial" w:cs="Arial"/>
                <w:noProof/>
                <w:sz w:val="16"/>
                <w:szCs w:val="16"/>
              </w:rPr>
              <w:t>405,849</w:t>
            </w:r>
          </w:p>
        </w:tc>
      </w:tr>
      <w:tr w:rsidR="00A56700" w:rsidRPr="005162B9" w14:paraId="58038166" w14:textId="77777777" w:rsidTr="005162B9">
        <w:trPr>
          <w:trHeight w:hRule="exact" w:val="258"/>
        </w:trPr>
        <w:tc>
          <w:tcPr>
            <w:tcW w:w="3749" w:type="dxa"/>
            <w:vAlign w:val="bottom"/>
          </w:tcPr>
          <w:p w14:paraId="3AD8A5BB" w14:textId="3768EE9C" w:rsidR="00A56700" w:rsidRPr="005162B9" w:rsidRDefault="00A56700" w:rsidP="00A56700">
            <w:pPr>
              <w:spacing w:before="95"/>
              <w:ind w:left="107"/>
              <w:rPr>
                <w:rFonts w:ascii="Arial" w:hAnsi="Arial" w:cs="Arial"/>
                <w:noProof/>
                <w:sz w:val="16"/>
                <w:szCs w:val="16"/>
              </w:rPr>
            </w:pPr>
            <w:r w:rsidRPr="005162B9">
              <w:rPr>
                <w:rFonts w:ascii="Arial" w:hAnsi="Arial" w:cs="Arial"/>
                <w:noProof/>
                <w:sz w:val="16"/>
                <w:szCs w:val="16"/>
              </w:rPr>
              <w:t xml:space="preserve">Private Placement </w:t>
            </w:r>
          </w:p>
        </w:tc>
        <w:tc>
          <w:tcPr>
            <w:tcW w:w="1213" w:type="dxa"/>
            <w:vAlign w:val="bottom"/>
          </w:tcPr>
          <w:p w14:paraId="245AC23D" w14:textId="66969E05" w:rsidR="00A56700" w:rsidRPr="005162B9" w:rsidRDefault="005162B9" w:rsidP="00A56700">
            <w:pPr>
              <w:spacing w:before="95"/>
              <w:ind w:left="107"/>
              <w:jc w:val="right"/>
              <w:rPr>
                <w:rFonts w:ascii="Arial" w:hAnsi="Arial" w:cs="Arial"/>
                <w:noProof/>
                <w:sz w:val="16"/>
                <w:szCs w:val="16"/>
              </w:rPr>
            </w:pPr>
            <w:r w:rsidRPr="005162B9">
              <w:rPr>
                <w:rFonts w:ascii="Arial" w:hAnsi="Arial" w:cs="Arial"/>
                <w:noProof/>
                <w:sz w:val="16"/>
                <w:szCs w:val="16"/>
              </w:rPr>
              <w:t>10,952,310</w:t>
            </w:r>
          </w:p>
        </w:tc>
        <w:tc>
          <w:tcPr>
            <w:tcW w:w="1701" w:type="dxa"/>
            <w:noWrap/>
            <w:vAlign w:val="bottom"/>
          </w:tcPr>
          <w:p w14:paraId="48DA66B1" w14:textId="3A8631EC"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2,</w:t>
            </w:r>
            <w:r w:rsidR="005162B9" w:rsidRPr="005162B9">
              <w:rPr>
                <w:rFonts w:ascii="Arial" w:hAnsi="Arial" w:cs="Arial"/>
                <w:noProof/>
                <w:sz w:val="16"/>
                <w:szCs w:val="16"/>
              </w:rPr>
              <w:t>299,985</w:t>
            </w:r>
          </w:p>
        </w:tc>
        <w:tc>
          <w:tcPr>
            <w:tcW w:w="1842" w:type="dxa"/>
            <w:vAlign w:val="bottom"/>
          </w:tcPr>
          <w:p w14:paraId="7DA2678B" w14:textId="435F1AEF"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w:t>
            </w:r>
          </w:p>
        </w:tc>
        <w:tc>
          <w:tcPr>
            <w:tcW w:w="1701" w:type="dxa"/>
            <w:vAlign w:val="bottom"/>
          </w:tcPr>
          <w:p w14:paraId="5A6B3821" w14:textId="32991326"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w:t>
            </w:r>
          </w:p>
        </w:tc>
        <w:tc>
          <w:tcPr>
            <w:tcW w:w="1560" w:type="dxa"/>
            <w:vAlign w:val="bottom"/>
          </w:tcPr>
          <w:p w14:paraId="5E5534E9" w14:textId="358067DB"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w:t>
            </w:r>
          </w:p>
        </w:tc>
        <w:tc>
          <w:tcPr>
            <w:tcW w:w="1559" w:type="dxa"/>
            <w:noWrap/>
            <w:vAlign w:val="bottom"/>
          </w:tcPr>
          <w:p w14:paraId="05DBB034" w14:textId="1E31F880"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2,</w:t>
            </w:r>
            <w:r w:rsidR="005162B9" w:rsidRPr="005162B9">
              <w:rPr>
                <w:rFonts w:ascii="Arial" w:hAnsi="Arial" w:cs="Arial"/>
                <w:noProof/>
                <w:sz w:val="16"/>
                <w:szCs w:val="16"/>
              </w:rPr>
              <w:t>299,985</w:t>
            </w:r>
          </w:p>
        </w:tc>
      </w:tr>
      <w:tr w:rsidR="00A56700" w:rsidRPr="005162B9" w14:paraId="7CE71A5A" w14:textId="77777777" w:rsidTr="005162B9">
        <w:trPr>
          <w:trHeight w:hRule="exact" w:val="258"/>
        </w:trPr>
        <w:tc>
          <w:tcPr>
            <w:tcW w:w="3749" w:type="dxa"/>
            <w:vAlign w:val="bottom"/>
          </w:tcPr>
          <w:p w14:paraId="3682F648" w14:textId="3C0375F3" w:rsidR="00A56700" w:rsidRPr="005162B9" w:rsidRDefault="00A56700" w:rsidP="00A56700">
            <w:pPr>
              <w:spacing w:before="95"/>
              <w:ind w:left="107"/>
              <w:rPr>
                <w:rFonts w:ascii="Arial" w:hAnsi="Arial" w:cs="Arial"/>
                <w:noProof/>
                <w:sz w:val="16"/>
                <w:szCs w:val="16"/>
              </w:rPr>
            </w:pPr>
            <w:r w:rsidRPr="005162B9">
              <w:rPr>
                <w:rFonts w:ascii="Arial" w:hAnsi="Arial" w:cs="Arial"/>
                <w:noProof/>
                <w:sz w:val="16"/>
                <w:szCs w:val="16"/>
              </w:rPr>
              <w:t>Restricted share units</w:t>
            </w:r>
            <w:r w:rsidRPr="005162B9">
              <w:rPr>
                <w:rFonts w:ascii="Arial" w:hAnsi="Arial" w:cs="Arial"/>
                <w:i/>
                <w:iCs/>
                <w:noProof/>
                <w:sz w:val="16"/>
                <w:szCs w:val="16"/>
              </w:rPr>
              <w:t xml:space="preserve"> [note </w:t>
            </w:r>
            <w:r w:rsidR="005E2F0E" w:rsidRPr="005162B9">
              <w:rPr>
                <w:rFonts w:ascii="Arial" w:hAnsi="Arial" w:cs="Arial"/>
                <w:i/>
                <w:iCs/>
                <w:noProof/>
                <w:sz w:val="16"/>
                <w:szCs w:val="16"/>
              </w:rPr>
              <w:t>8</w:t>
            </w:r>
            <w:r w:rsidRPr="005162B9">
              <w:rPr>
                <w:rFonts w:ascii="Arial" w:hAnsi="Arial" w:cs="Arial"/>
                <w:i/>
                <w:iCs/>
                <w:noProof/>
                <w:sz w:val="16"/>
                <w:szCs w:val="16"/>
              </w:rPr>
              <w:t>]</w:t>
            </w:r>
          </w:p>
        </w:tc>
        <w:tc>
          <w:tcPr>
            <w:tcW w:w="1213" w:type="dxa"/>
            <w:vAlign w:val="bottom"/>
          </w:tcPr>
          <w:p w14:paraId="592EFD33" w14:textId="64306CF0" w:rsidR="00A56700" w:rsidRPr="005162B9" w:rsidRDefault="005162B9" w:rsidP="00A56700">
            <w:pPr>
              <w:spacing w:before="95"/>
              <w:ind w:left="107"/>
              <w:jc w:val="right"/>
              <w:rPr>
                <w:rFonts w:ascii="Arial" w:hAnsi="Arial" w:cs="Arial"/>
                <w:noProof/>
                <w:sz w:val="16"/>
                <w:szCs w:val="16"/>
              </w:rPr>
            </w:pPr>
            <w:r w:rsidRPr="005162B9">
              <w:rPr>
                <w:rFonts w:ascii="Arial" w:hAnsi="Arial" w:cs="Arial"/>
                <w:noProof/>
                <w:sz w:val="16"/>
                <w:szCs w:val="16"/>
              </w:rPr>
              <w:t>356,668</w:t>
            </w:r>
          </w:p>
        </w:tc>
        <w:tc>
          <w:tcPr>
            <w:tcW w:w="1701" w:type="dxa"/>
            <w:noWrap/>
            <w:vAlign w:val="bottom"/>
          </w:tcPr>
          <w:p w14:paraId="7AB46D95" w14:textId="0AEFB9CB" w:rsidR="00A56700" w:rsidRPr="005162B9" w:rsidRDefault="005162B9" w:rsidP="00A56700">
            <w:pPr>
              <w:spacing w:before="95"/>
              <w:ind w:left="107"/>
              <w:jc w:val="right"/>
              <w:rPr>
                <w:rFonts w:ascii="Arial" w:hAnsi="Arial" w:cs="Arial"/>
                <w:noProof/>
                <w:sz w:val="16"/>
                <w:szCs w:val="16"/>
              </w:rPr>
            </w:pPr>
            <w:r w:rsidRPr="005162B9">
              <w:rPr>
                <w:rFonts w:ascii="Arial" w:hAnsi="Arial" w:cs="Arial"/>
                <w:noProof/>
                <w:sz w:val="16"/>
                <w:szCs w:val="16"/>
              </w:rPr>
              <w:t>78,467</w:t>
            </w:r>
          </w:p>
        </w:tc>
        <w:tc>
          <w:tcPr>
            <w:tcW w:w="1842" w:type="dxa"/>
            <w:vAlign w:val="bottom"/>
          </w:tcPr>
          <w:p w14:paraId="76DCE815" w14:textId="5C59BC16"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w:t>
            </w:r>
            <w:r w:rsidR="005162B9" w:rsidRPr="005162B9">
              <w:rPr>
                <w:rFonts w:ascii="Arial" w:hAnsi="Arial" w:cs="Arial"/>
                <w:noProof/>
                <w:sz w:val="16"/>
                <w:szCs w:val="16"/>
              </w:rPr>
              <w:t>78,467</w:t>
            </w:r>
            <w:r w:rsidRPr="005162B9">
              <w:rPr>
                <w:rFonts w:ascii="Arial" w:hAnsi="Arial" w:cs="Arial"/>
                <w:noProof/>
                <w:sz w:val="16"/>
                <w:szCs w:val="16"/>
              </w:rPr>
              <w:t>)</w:t>
            </w:r>
          </w:p>
        </w:tc>
        <w:tc>
          <w:tcPr>
            <w:tcW w:w="1701" w:type="dxa"/>
            <w:vAlign w:val="bottom"/>
          </w:tcPr>
          <w:p w14:paraId="13C070AE" w14:textId="4605752C"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w:t>
            </w:r>
          </w:p>
        </w:tc>
        <w:tc>
          <w:tcPr>
            <w:tcW w:w="1560" w:type="dxa"/>
            <w:vAlign w:val="bottom"/>
          </w:tcPr>
          <w:p w14:paraId="58AF9136" w14:textId="5A6CFD76"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w:t>
            </w:r>
          </w:p>
        </w:tc>
        <w:tc>
          <w:tcPr>
            <w:tcW w:w="1559" w:type="dxa"/>
            <w:noWrap/>
            <w:vAlign w:val="bottom"/>
          </w:tcPr>
          <w:p w14:paraId="6262A1D4" w14:textId="224487F6"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w:t>
            </w:r>
          </w:p>
        </w:tc>
      </w:tr>
      <w:tr w:rsidR="00A56700" w:rsidRPr="005162B9" w14:paraId="77FF6FCD" w14:textId="77777777" w:rsidTr="005162B9">
        <w:trPr>
          <w:trHeight w:hRule="exact" w:val="258"/>
        </w:trPr>
        <w:tc>
          <w:tcPr>
            <w:tcW w:w="3749" w:type="dxa"/>
            <w:vAlign w:val="bottom"/>
            <w:hideMark/>
          </w:tcPr>
          <w:p w14:paraId="7F3CD683" w14:textId="404CC26B" w:rsidR="00A56700" w:rsidRPr="005162B9" w:rsidRDefault="00A56700" w:rsidP="00A56700">
            <w:pPr>
              <w:spacing w:before="95"/>
              <w:ind w:left="107"/>
              <w:rPr>
                <w:rFonts w:ascii="Arial" w:hAnsi="Arial" w:cs="Arial"/>
                <w:noProof/>
                <w:sz w:val="16"/>
                <w:szCs w:val="16"/>
              </w:rPr>
            </w:pPr>
            <w:r w:rsidRPr="005162B9">
              <w:rPr>
                <w:rFonts w:ascii="Arial" w:hAnsi="Arial" w:cs="Arial"/>
                <w:noProof/>
                <w:sz w:val="16"/>
                <w:szCs w:val="16"/>
              </w:rPr>
              <w:t>Exercise of stock options</w:t>
            </w:r>
            <w:r w:rsidRPr="005162B9">
              <w:rPr>
                <w:rFonts w:ascii="Arial" w:hAnsi="Arial" w:cs="Arial"/>
                <w:i/>
                <w:iCs/>
                <w:noProof/>
                <w:sz w:val="16"/>
                <w:szCs w:val="16"/>
              </w:rPr>
              <w:t xml:space="preserve"> [note </w:t>
            </w:r>
            <w:r w:rsidR="005E2F0E" w:rsidRPr="005162B9">
              <w:rPr>
                <w:rFonts w:ascii="Arial" w:hAnsi="Arial" w:cs="Arial"/>
                <w:i/>
                <w:iCs/>
                <w:noProof/>
                <w:sz w:val="16"/>
                <w:szCs w:val="16"/>
              </w:rPr>
              <w:t>8</w:t>
            </w:r>
            <w:r w:rsidRPr="005162B9">
              <w:rPr>
                <w:rFonts w:ascii="Arial" w:hAnsi="Arial" w:cs="Arial"/>
                <w:i/>
                <w:iCs/>
                <w:noProof/>
                <w:sz w:val="16"/>
                <w:szCs w:val="16"/>
              </w:rPr>
              <w:t>]</w:t>
            </w:r>
          </w:p>
        </w:tc>
        <w:tc>
          <w:tcPr>
            <w:tcW w:w="1213" w:type="dxa"/>
            <w:vAlign w:val="bottom"/>
            <w:hideMark/>
          </w:tcPr>
          <w:p w14:paraId="5BFE6DE1" w14:textId="1B42E0E4"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690,000</w:t>
            </w:r>
          </w:p>
        </w:tc>
        <w:tc>
          <w:tcPr>
            <w:tcW w:w="1701" w:type="dxa"/>
            <w:noWrap/>
            <w:vAlign w:val="bottom"/>
            <w:hideMark/>
          </w:tcPr>
          <w:p w14:paraId="4ACA282E" w14:textId="53A0C9A0"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1</w:t>
            </w:r>
            <w:r w:rsidR="005162B9" w:rsidRPr="005162B9">
              <w:rPr>
                <w:rFonts w:ascii="Arial" w:hAnsi="Arial" w:cs="Arial"/>
                <w:noProof/>
                <w:sz w:val="16"/>
                <w:szCs w:val="16"/>
              </w:rPr>
              <w:t>55,625</w:t>
            </w:r>
          </w:p>
        </w:tc>
        <w:tc>
          <w:tcPr>
            <w:tcW w:w="1842" w:type="dxa"/>
            <w:vAlign w:val="bottom"/>
            <w:hideMark/>
          </w:tcPr>
          <w:p w14:paraId="48744593" w14:textId="52D0E0E0"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w:t>
            </w:r>
            <w:r w:rsidR="005162B9" w:rsidRPr="005162B9">
              <w:rPr>
                <w:rFonts w:ascii="Arial" w:hAnsi="Arial" w:cs="Arial"/>
                <w:noProof/>
                <w:sz w:val="16"/>
                <w:szCs w:val="16"/>
              </w:rPr>
              <w:t>59,025</w:t>
            </w:r>
            <w:r w:rsidRPr="005162B9">
              <w:rPr>
                <w:rFonts w:ascii="Arial" w:hAnsi="Arial" w:cs="Arial"/>
                <w:noProof/>
                <w:sz w:val="16"/>
                <w:szCs w:val="16"/>
              </w:rPr>
              <w:t>)</w:t>
            </w:r>
          </w:p>
        </w:tc>
        <w:tc>
          <w:tcPr>
            <w:tcW w:w="1701" w:type="dxa"/>
            <w:vAlign w:val="bottom"/>
            <w:hideMark/>
          </w:tcPr>
          <w:p w14:paraId="2F9E0294" w14:textId="7D48E1B6"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w:t>
            </w:r>
          </w:p>
        </w:tc>
        <w:tc>
          <w:tcPr>
            <w:tcW w:w="1560" w:type="dxa"/>
            <w:vAlign w:val="bottom"/>
            <w:hideMark/>
          </w:tcPr>
          <w:p w14:paraId="5BD5AA00" w14:textId="7F5FE7ED"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w:t>
            </w:r>
          </w:p>
        </w:tc>
        <w:tc>
          <w:tcPr>
            <w:tcW w:w="1559" w:type="dxa"/>
            <w:noWrap/>
            <w:vAlign w:val="bottom"/>
            <w:hideMark/>
          </w:tcPr>
          <w:p w14:paraId="38F3B1F9" w14:textId="05E927EA" w:rsidR="00A56700" w:rsidRPr="005162B9" w:rsidRDefault="005162B9" w:rsidP="00A56700">
            <w:pPr>
              <w:spacing w:before="95"/>
              <w:ind w:left="107"/>
              <w:jc w:val="right"/>
              <w:rPr>
                <w:rFonts w:ascii="Arial" w:hAnsi="Arial" w:cs="Arial"/>
                <w:noProof/>
                <w:sz w:val="16"/>
                <w:szCs w:val="16"/>
              </w:rPr>
            </w:pPr>
            <w:r w:rsidRPr="005162B9">
              <w:rPr>
                <w:rFonts w:ascii="Arial" w:hAnsi="Arial" w:cs="Arial"/>
                <w:noProof/>
                <w:sz w:val="16"/>
                <w:szCs w:val="16"/>
              </w:rPr>
              <w:t>96,000</w:t>
            </w:r>
          </w:p>
        </w:tc>
      </w:tr>
      <w:tr w:rsidR="00A56700" w:rsidRPr="005162B9" w14:paraId="625ADDBE" w14:textId="77777777" w:rsidTr="005162B9">
        <w:trPr>
          <w:trHeight w:hRule="exact" w:val="554"/>
        </w:trPr>
        <w:tc>
          <w:tcPr>
            <w:tcW w:w="3749" w:type="dxa"/>
          </w:tcPr>
          <w:p w14:paraId="14D9D048" w14:textId="7D6CBC12" w:rsidR="00A56700" w:rsidRPr="005162B9" w:rsidRDefault="00A56700" w:rsidP="00890E78">
            <w:pPr>
              <w:spacing w:before="95"/>
              <w:ind w:left="107"/>
              <w:rPr>
                <w:rFonts w:ascii="Arial" w:hAnsi="Arial" w:cs="Arial"/>
                <w:noProof/>
                <w:sz w:val="16"/>
                <w:szCs w:val="16"/>
              </w:rPr>
            </w:pPr>
            <w:r w:rsidRPr="005162B9">
              <w:rPr>
                <w:rFonts w:ascii="Arial" w:hAnsi="Arial" w:cs="Arial"/>
                <w:noProof/>
                <w:sz w:val="16"/>
                <w:szCs w:val="16"/>
              </w:rPr>
              <w:t>Exchange difference on translating foreign operations</w:t>
            </w:r>
          </w:p>
        </w:tc>
        <w:tc>
          <w:tcPr>
            <w:tcW w:w="1213" w:type="dxa"/>
            <w:vAlign w:val="bottom"/>
          </w:tcPr>
          <w:p w14:paraId="03182610" w14:textId="557EDBA2" w:rsidR="00A56700" w:rsidRPr="005162B9" w:rsidRDefault="00A56700" w:rsidP="004565BA">
            <w:pPr>
              <w:spacing w:before="95"/>
              <w:ind w:left="107"/>
              <w:rPr>
                <w:rFonts w:ascii="Arial" w:hAnsi="Arial" w:cs="Arial"/>
                <w:noProof/>
                <w:sz w:val="16"/>
                <w:szCs w:val="16"/>
              </w:rPr>
            </w:pPr>
            <w:r w:rsidRPr="005162B9">
              <w:rPr>
                <w:rFonts w:ascii="Arial" w:hAnsi="Arial" w:cs="Arial"/>
                <w:noProof/>
                <w:sz w:val="16"/>
                <w:szCs w:val="16"/>
              </w:rPr>
              <w:t>-</w:t>
            </w:r>
          </w:p>
        </w:tc>
        <w:tc>
          <w:tcPr>
            <w:tcW w:w="1701" w:type="dxa"/>
            <w:vAlign w:val="bottom"/>
          </w:tcPr>
          <w:p w14:paraId="5078E75D" w14:textId="7EBCC02C" w:rsidR="00A56700" w:rsidRPr="005162B9" w:rsidRDefault="00A56700" w:rsidP="004565BA">
            <w:pPr>
              <w:spacing w:before="95"/>
              <w:ind w:left="107"/>
              <w:rPr>
                <w:rFonts w:ascii="Arial" w:hAnsi="Arial" w:cs="Arial"/>
                <w:noProof/>
                <w:sz w:val="16"/>
                <w:szCs w:val="16"/>
              </w:rPr>
            </w:pPr>
            <w:r w:rsidRPr="005162B9">
              <w:rPr>
                <w:rFonts w:ascii="Arial" w:hAnsi="Arial" w:cs="Arial"/>
                <w:noProof/>
                <w:sz w:val="16"/>
                <w:szCs w:val="16"/>
              </w:rPr>
              <w:t>-</w:t>
            </w:r>
          </w:p>
        </w:tc>
        <w:tc>
          <w:tcPr>
            <w:tcW w:w="1842" w:type="dxa"/>
            <w:noWrap/>
            <w:vAlign w:val="bottom"/>
          </w:tcPr>
          <w:p w14:paraId="4950B36D" w14:textId="6749C01E" w:rsidR="00A56700" w:rsidRPr="005162B9" w:rsidRDefault="005162B9" w:rsidP="00890E78">
            <w:pPr>
              <w:spacing w:before="95"/>
              <w:ind w:left="107"/>
              <w:jc w:val="right"/>
              <w:rPr>
                <w:rFonts w:ascii="Arial" w:hAnsi="Arial" w:cs="Arial"/>
                <w:noProof/>
                <w:sz w:val="16"/>
                <w:szCs w:val="16"/>
              </w:rPr>
            </w:pPr>
            <w:r w:rsidRPr="005162B9">
              <w:rPr>
                <w:rFonts w:ascii="Arial" w:hAnsi="Arial" w:cs="Arial"/>
                <w:noProof/>
                <w:sz w:val="16"/>
                <w:szCs w:val="16"/>
              </w:rPr>
              <w:t>-</w:t>
            </w:r>
          </w:p>
        </w:tc>
        <w:tc>
          <w:tcPr>
            <w:tcW w:w="1701" w:type="dxa"/>
            <w:vAlign w:val="bottom"/>
          </w:tcPr>
          <w:p w14:paraId="380048DF" w14:textId="3C713A33" w:rsidR="00A56700" w:rsidRPr="005162B9" w:rsidRDefault="00A56700" w:rsidP="00890E78">
            <w:pPr>
              <w:spacing w:before="95"/>
              <w:ind w:left="107"/>
              <w:jc w:val="right"/>
              <w:rPr>
                <w:rFonts w:ascii="Arial" w:hAnsi="Arial" w:cs="Arial"/>
                <w:noProof/>
                <w:sz w:val="16"/>
                <w:szCs w:val="16"/>
              </w:rPr>
            </w:pPr>
            <w:r w:rsidRPr="005162B9">
              <w:rPr>
                <w:rFonts w:ascii="Arial" w:hAnsi="Arial" w:cs="Arial"/>
                <w:noProof/>
                <w:sz w:val="16"/>
                <w:szCs w:val="16"/>
              </w:rPr>
              <w:t>(</w:t>
            </w:r>
            <w:r w:rsidR="005162B9" w:rsidRPr="005162B9">
              <w:rPr>
                <w:rFonts w:ascii="Arial" w:hAnsi="Arial" w:cs="Arial"/>
                <w:noProof/>
                <w:sz w:val="16"/>
                <w:szCs w:val="16"/>
              </w:rPr>
              <w:t>90,697</w:t>
            </w:r>
            <w:r w:rsidRPr="005162B9">
              <w:rPr>
                <w:rFonts w:ascii="Arial" w:hAnsi="Arial" w:cs="Arial"/>
                <w:noProof/>
                <w:sz w:val="16"/>
                <w:szCs w:val="16"/>
              </w:rPr>
              <w:t>)</w:t>
            </w:r>
          </w:p>
        </w:tc>
        <w:tc>
          <w:tcPr>
            <w:tcW w:w="1560" w:type="dxa"/>
            <w:vAlign w:val="bottom"/>
          </w:tcPr>
          <w:p w14:paraId="7DF8588B" w14:textId="72A310A4" w:rsidR="00A56700" w:rsidRPr="005162B9" w:rsidRDefault="005162B9" w:rsidP="00890E78">
            <w:pPr>
              <w:spacing w:before="95"/>
              <w:ind w:left="107"/>
              <w:jc w:val="right"/>
              <w:rPr>
                <w:rFonts w:ascii="Arial" w:hAnsi="Arial" w:cs="Arial"/>
                <w:noProof/>
                <w:sz w:val="16"/>
                <w:szCs w:val="16"/>
              </w:rPr>
            </w:pPr>
            <w:r w:rsidRPr="005162B9">
              <w:rPr>
                <w:rFonts w:ascii="Arial" w:hAnsi="Arial" w:cs="Arial"/>
                <w:noProof/>
                <w:sz w:val="16"/>
                <w:szCs w:val="16"/>
              </w:rPr>
              <w:t>-</w:t>
            </w:r>
          </w:p>
        </w:tc>
        <w:tc>
          <w:tcPr>
            <w:tcW w:w="1559" w:type="dxa"/>
            <w:noWrap/>
            <w:vAlign w:val="bottom"/>
          </w:tcPr>
          <w:p w14:paraId="3B69BBEA" w14:textId="4E71A157" w:rsidR="00A56700" w:rsidRPr="005162B9" w:rsidRDefault="00A56700" w:rsidP="00890E78">
            <w:pPr>
              <w:spacing w:before="95"/>
              <w:ind w:left="107"/>
              <w:jc w:val="right"/>
              <w:rPr>
                <w:rFonts w:ascii="Arial" w:hAnsi="Arial" w:cs="Arial"/>
                <w:noProof/>
                <w:sz w:val="16"/>
                <w:szCs w:val="16"/>
              </w:rPr>
            </w:pPr>
            <w:r w:rsidRPr="005162B9">
              <w:rPr>
                <w:rFonts w:ascii="Arial" w:hAnsi="Arial" w:cs="Arial"/>
                <w:noProof/>
                <w:sz w:val="16"/>
                <w:szCs w:val="16"/>
              </w:rPr>
              <w:t>(</w:t>
            </w:r>
            <w:r w:rsidR="005162B9" w:rsidRPr="005162B9">
              <w:rPr>
                <w:rFonts w:ascii="Arial" w:hAnsi="Arial" w:cs="Arial"/>
                <w:noProof/>
                <w:sz w:val="16"/>
                <w:szCs w:val="16"/>
              </w:rPr>
              <w:t>90,697</w:t>
            </w:r>
            <w:r w:rsidRPr="005162B9">
              <w:rPr>
                <w:rFonts w:ascii="Arial" w:hAnsi="Arial" w:cs="Arial"/>
                <w:noProof/>
                <w:sz w:val="16"/>
                <w:szCs w:val="16"/>
              </w:rPr>
              <w:t>)</w:t>
            </w:r>
          </w:p>
        </w:tc>
      </w:tr>
      <w:tr w:rsidR="00A56700" w:rsidRPr="005162B9" w14:paraId="665A9D8C" w14:textId="77777777" w:rsidTr="005162B9">
        <w:trPr>
          <w:trHeight w:hRule="exact" w:val="364"/>
        </w:trPr>
        <w:tc>
          <w:tcPr>
            <w:tcW w:w="3749" w:type="dxa"/>
            <w:hideMark/>
          </w:tcPr>
          <w:p w14:paraId="7702DEF0" w14:textId="25348AC0" w:rsidR="00A56700" w:rsidRPr="005162B9" w:rsidRDefault="00A56700" w:rsidP="00A56700">
            <w:pPr>
              <w:spacing w:before="95"/>
              <w:ind w:left="107"/>
              <w:rPr>
                <w:rFonts w:ascii="Arial" w:hAnsi="Arial" w:cs="Arial"/>
                <w:noProof/>
                <w:sz w:val="16"/>
                <w:szCs w:val="16"/>
              </w:rPr>
            </w:pPr>
            <w:r w:rsidRPr="005162B9">
              <w:rPr>
                <w:rFonts w:ascii="Arial" w:hAnsi="Arial" w:cs="Arial"/>
                <w:noProof/>
                <w:sz w:val="16"/>
                <w:szCs w:val="16"/>
              </w:rPr>
              <w:t>Loss  for the year</w:t>
            </w:r>
          </w:p>
        </w:tc>
        <w:tc>
          <w:tcPr>
            <w:tcW w:w="1213" w:type="dxa"/>
            <w:vAlign w:val="bottom"/>
            <w:hideMark/>
          </w:tcPr>
          <w:p w14:paraId="442FA6AE" w14:textId="492CD961" w:rsidR="00A56700" w:rsidRPr="005162B9" w:rsidRDefault="00A56700" w:rsidP="00890E78">
            <w:pPr>
              <w:spacing w:before="95"/>
              <w:ind w:left="107"/>
              <w:jc w:val="right"/>
              <w:rPr>
                <w:rFonts w:ascii="Arial" w:hAnsi="Arial" w:cs="Arial"/>
                <w:noProof/>
                <w:sz w:val="16"/>
                <w:szCs w:val="16"/>
              </w:rPr>
            </w:pPr>
            <w:r w:rsidRPr="005162B9">
              <w:rPr>
                <w:rFonts w:ascii="Arial" w:hAnsi="Arial" w:cs="Arial"/>
                <w:noProof/>
                <w:sz w:val="16"/>
                <w:szCs w:val="16"/>
              </w:rPr>
              <w:t>-</w:t>
            </w:r>
          </w:p>
        </w:tc>
        <w:tc>
          <w:tcPr>
            <w:tcW w:w="1701" w:type="dxa"/>
            <w:vAlign w:val="bottom"/>
            <w:hideMark/>
          </w:tcPr>
          <w:p w14:paraId="731A4709" w14:textId="7B70D0D3" w:rsidR="00A56700" w:rsidRPr="005162B9" w:rsidRDefault="00A56700" w:rsidP="00890E78">
            <w:pPr>
              <w:spacing w:before="95"/>
              <w:ind w:left="107"/>
              <w:jc w:val="right"/>
              <w:rPr>
                <w:rFonts w:ascii="Arial" w:hAnsi="Arial" w:cs="Arial"/>
                <w:noProof/>
                <w:sz w:val="16"/>
                <w:szCs w:val="16"/>
              </w:rPr>
            </w:pPr>
            <w:r w:rsidRPr="005162B9">
              <w:rPr>
                <w:rFonts w:ascii="Arial" w:hAnsi="Arial" w:cs="Arial"/>
                <w:noProof/>
                <w:sz w:val="16"/>
                <w:szCs w:val="16"/>
              </w:rPr>
              <w:t>-</w:t>
            </w:r>
          </w:p>
        </w:tc>
        <w:tc>
          <w:tcPr>
            <w:tcW w:w="1842" w:type="dxa"/>
            <w:noWrap/>
            <w:vAlign w:val="bottom"/>
            <w:hideMark/>
          </w:tcPr>
          <w:p w14:paraId="52241EB4" w14:textId="7C56D79E" w:rsidR="00A56700" w:rsidRPr="005162B9" w:rsidRDefault="00A56700" w:rsidP="00890E78">
            <w:pPr>
              <w:spacing w:before="95"/>
              <w:ind w:left="107"/>
              <w:jc w:val="right"/>
              <w:rPr>
                <w:rFonts w:ascii="Arial" w:hAnsi="Arial" w:cs="Arial"/>
                <w:noProof/>
                <w:sz w:val="16"/>
                <w:szCs w:val="16"/>
              </w:rPr>
            </w:pPr>
            <w:r w:rsidRPr="005162B9">
              <w:rPr>
                <w:rFonts w:ascii="Arial" w:hAnsi="Arial" w:cs="Arial"/>
                <w:noProof/>
                <w:sz w:val="16"/>
                <w:szCs w:val="16"/>
              </w:rPr>
              <w:t>-</w:t>
            </w:r>
          </w:p>
        </w:tc>
        <w:tc>
          <w:tcPr>
            <w:tcW w:w="1701" w:type="dxa"/>
            <w:vAlign w:val="bottom"/>
            <w:hideMark/>
          </w:tcPr>
          <w:p w14:paraId="4EBAB1BC" w14:textId="3738391B" w:rsidR="00A56700" w:rsidRPr="005162B9" w:rsidRDefault="00A56700" w:rsidP="00890E78">
            <w:pPr>
              <w:spacing w:before="95"/>
              <w:ind w:left="107"/>
              <w:jc w:val="right"/>
              <w:rPr>
                <w:rFonts w:ascii="Arial" w:hAnsi="Arial" w:cs="Arial"/>
                <w:noProof/>
                <w:sz w:val="16"/>
                <w:szCs w:val="16"/>
              </w:rPr>
            </w:pPr>
            <w:r w:rsidRPr="005162B9">
              <w:rPr>
                <w:rFonts w:ascii="Arial" w:hAnsi="Arial" w:cs="Arial"/>
                <w:noProof/>
                <w:sz w:val="16"/>
                <w:szCs w:val="16"/>
              </w:rPr>
              <w:t>-</w:t>
            </w:r>
          </w:p>
        </w:tc>
        <w:tc>
          <w:tcPr>
            <w:tcW w:w="1560" w:type="dxa"/>
            <w:vAlign w:val="bottom"/>
            <w:hideMark/>
          </w:tcPr>
          <w:p w14:paraId="6B416B09" w14:textId="34B6681E" w:rsidR="00A56700" w:rsidRPr="005162B9" w:rsidRDefault="00A56700" w:rsidP="00890E78">
            <w:pPr>
              <w:spacing w:before="95"/>
              <w:ind w:left="107"/>
              <w:jc w:val="right"/>
              <w:rPr>
                <w:rFonts w:ascii="Arial" w:hAnsi="Arial" w:cs="Arial"/>
                <w:noProof/>
                <w:sz w:val="16"/>
                <w:szCs w:val="16"/>
              </w:rPr>
            </w:pPr>
            <w:r w:rsidRPr="005162B9">
              <w:rPr>
                <w:rFonts w:ascii="Arial" w:hAnsi="Arial" w:cs="Arial"/>
                <w:noProof/>
                <w:sz w:val="16"/>
                <w:szCs w:val="16"/>
              </w:rPr>
              <w:t>(</w:t>
            </w:r>
            <w:r w:rsidR="005162B9" w:rsidRPr="005162B9">
              <w:rPr>
                <w:rFonts w:ascii="Arial" w:hAnsi="Arial" w:cs="Arial"/>
                <w:noProof/>
                <w:sz w:val="16"/>
                <w:szCs w:val="16"/>
              </w:rPr>
              <w:t>2,687,340</w:t>
            </w:r>
            <w:r w:rsidRPr="005162B9">
              <w:rPr>
                <w:rFonts w:ascii="Arial" w:hAnsi="Arial" w:cs="Arial"/>
                <w:noProof/>
                <w:sz w:val="16"/>
                <w:szCs w:val="16"/>
              </w:rPr>
              <w:t>)</w:t>
            </w:r>
          </w:p>
        </w:tc>
        <w:tc>
          <w:tcPr>
            <w:tcW w:w="1559" w:type="dxa"/>
            <w:noWrap/>
            <w:vAlign w:val="bottom"/>
            <w:hideMark/>
          </w:tcPr>
          <w:p w14:paraId="47B42E22" w14:textId="02D106C7" w:rsidR="00A56700" w:rsidRPr="005162B9" w:rsidRDefault="00A56700" w:rsidP="00890E78">
            <w:pPr>
              <w:spacing w:before="95"/>
              <w:ind w:left="107"/>
              <w:jc w:val="right"/>
              <w:rPr>
                <w:rFonts w:ascii="Arial" w:hAnsi="Arial" w:cs="Arial"/>
                <w:noProof/>
                <w:sz w:val="16"/>
                <w:szCs w:val="16"/>
              </w:rPr>
            </w:pPr>
            <w:r w:rsidRPr="005162B9">
              <w:rPr>
                <w:rFonts w:ascii="Arial" w:hAnsi="Arial" w:cs="Arial"/>
                <w:noProof/>
                <w:sz w:val="16"/>
                <w:szCs w:val="16"/>
              </w:rPr>
              <w:t>(</w:t>
            </w:r>
            <w:r w:rsidR="005162B9" w:rsidRPr="005162B9">
              <w:rPr>
                <w:rFonts w:ascii="Arial" w:hAnsi="Arial" w:cs="Arial"/>
                <w:noProof/>
                <w:sz w:val="16"/>
                <w:szCs w:val="16"/>
              </w:rPr>
              <w:t>2,6</w:t>
            </w:r>
            <w:r w:rsidR="00CD783C">
              <w:rPr>
                <w:rFonts w:ascii="Arial" w:hAnsi="Arial" w:cs="Arial"/>
                <w:noProof/>
                <w:sz w:val="16"/>
                <w:szCs w:val="16"/>
              </w:rPr>
              <w:t>3</w:t>
            </w:r>
            <w:r w:rsidR="005162B9" w:rsidRPr="005162B9">
              <w:rPr>
                <w:rFonts w:ascii="Arial" w:hAnsi="Arial" w:cs="Arial"/>
                <w:noProof/>
                <w:sz w:val="16"/>
                <w:szCs w:val="16"/>
              </w:rPr>
              <w:t>7,340</w:t>
            </w:r>
            <w:r w:rsidRPr="005162B9">
              <w:rPr>
                <w:rFonts w:ascii="Arial" w:hAnsi="Arial" w:cs="Arial"/>
                <w:noProof/>
                <w:sz w:val="16"/>
                <w:szCs w:val="16"/>
              </w:rPr>
              <w:t>)</w:t>
            </w:r>
          </w:p>
        </w:tc>
      </w:tr>
      <w:tr w:rsidR="00A56700" w:rsidRPr="005162B9" w14:paraId="6CB6DF89" w14:textId="77777777" w:rsidTr="005162B9">
        <w:trPr>
          <w:trHeight w:val="411"/>
        </w:trPr>
        <w:tc>
          <w:tcPr>
            <w:tcW w:w="0" w:type="auto"/>
            <w:tcBorders>
              <w:top w:val="single" w:sz="12" w:space="0" w:color="auto"/>
              <w:left w:val="nil"/>
              <w:bottom w:val="single" w:sz="18" w:space="0" w:color="auto"/>
              <w:right w:val="nil"/>
            </w:tcBorders>
            <w:hideMark/>
          </w:tcPr>
          <w:p w14:paraId="6034E0D5" w14:textId="0AF48BF4" w:rsidR="00A56700" w:rsidRPr="005162B9" w:rsidRDefault="00A56700" w:rsidP="00A56700">
            <w:pPr>
              <w:spacing w:before="95"/>
              <w:ind w:left="107"/>
              <w:rPr>
                <w:rFonts w:ascii="Arial" w:hAnsi="Arial" w:cs="Arial"/>
                <w:noProof/>
                <w:sz w:val="16"/>
                <w:szCs w:val="16"/>
              </w:rPr>
            </w:pPr>
            <w:r w:rsidRPr="005162B9">
              <w:rPr>
                <w:rFonts w:ascii="Arial" w:hAnsi="Arial" w:cs="Arial"/>
                <w:noProof/>
                <w:sz w:val="16"/>
                <w:szCs w:val="16"/>
              </w:rPr>
              <w:t>Balance as at</w:t>
            </w:r>
            <w:r w:rsidRPr="005162B9">
              <w:rPr>
                <w:rFonts w:ascii="Arial" w:hAnsi="Arial" w:cs="Arial"/>
                <w:noProof/>
                <w:sz w:val="16"/>
                <w:szCs w:val="16"/>
              </w:rPr>
              <w:br/>
              <w:t>December 31, 202</w:t>
            </w:r>
            <w:r w:rsidR="00425778">
              <w:rPr>
                <w:rFonts w:ascii="Arial" w:hAnsi="Arial" w:cs="Arial"/>
                <w:noProof/>
                <w:sz w:val="16"/>
                <w:szCs w:val="16"/>
              </w:rPr>
              <w:t>2</w:t>
            </w:r>
          </w:p>
        </w:tc>
        <w:tc>
          <w:tcPr>
            <w:tcW w:w="1213" w:type="dxa"/>
            <w:tcBorders>
              <w:top w:val="single" w:sz="12" w:space="0" w:color="auto"/>
              <w:left w:val="nil"/>
              <w:bottom w:val="single" w:sz="18" w:space="0" w:color="auto"/>
              <w:right w:val="nil"/>
            </w:tcBorders>
            <w:vAlign w:val="bottom"/>
            <w:hideMark/>
          </w:tcPr>
          <w:p w14:paraId="67A23ED7" w14:textId="3E1AD920" w:rsidR="00A56700" w:rsidRPr="005162B9" w:rsidRDefault="00A56700" w:rsidP="00890E78">
            <w:pPr>
              <w:spacing w:before="95"/>
              <w:ind w:left="107"/>
              <w:jc w:val="right"/>
              <w:rPr>
                <w:rFonts w:ascii="Arial" w:hAnsi="Arial" w:cs="Arial"/>
                <w:noProof/>
                <w:sz w:val="16"/>
                <w:szCs w:val="16"/>
              </w:rPr>
            </w:pPr>
            <w:r w:rsidRPr="005162B9">
              <w:rPr>
                <w:rFonts w:ascii="Arial" w:hAnsi="Arial" w:cs="Arial"/>
                <w:noProof/>
                <w:sz w:val="16"/>
                <w:szCs w:val="16"/>
              </w:rPr>
              <w:t>1</w:t>
            </w:r>
            <w:r w:rsidR="005162B9" w:rsidRPr="005162B9">
              <w:rPr>
                <w:rFonts w:ascii="Arial" w:hAnsi="Arial" w:cs="Arial"/>
                <w:noProof/>
                <w:sz w:val="16"/>
                <w:szCs w:val="16"/>
              </w:rPr>
              <w:t>64,817,648</w:t>
            </w:r>
          </w:p>
        </w:tc>
        <w:tc>
          <w:tcPr>
            <w:tcW w:w="1701" w:type="dxa"/>
            <w:tcBorders>
              <w:top w:val="single" w:sz="12" w:space="0" w:color="auto"/>
              <w:left w:val="nil"/>
              <w:bottom w:val="single" w:sz="18" w:space="0" w:color="auto"/>
              <w:right w:val="nil"/>
            </w:tcBorders>
            <w:noWrap/>
            <w:vAlign w:val="bottom"/>
            <w:hideMark/>
          </w:tcPr>
          <w:p w14:paraId="5651BAC9" w14:textId="2D5D240A" w:rsidR="00A56700" w:rsidRPr="005162B9" w:rsidRDefault="005162B9" w:rsidP="00890E78">
            <w:pPr>
              <w:spacing w:before="95"/>
              <w:ind w:left="107"/>
              <w:jc w:val="right"/>
              <w:rPr>
                <w:rFonts w:ascii="Arial" w:hAnsi="Arial" w:cs="Arial"/>
                <w:noProof/>
                <w:sz w:val="16"/>
                <w:szCs w:val="16"/>
              </w:rPr>
            </w:pPr>
            <w:r w:rsidRPr="005162B9">
              <w:rPr>
                <w:rFonts w:ascii="Arial" w:hAnsi="Arial" w:cs="Arial"/>
                <w:noProof/>
                <w:sz w:val="16"/>
                <w:szCs w:val="16"/>
              </w:rPr>
              <w:t>41,865,575</w:t>
            </w:r>
          </w:p>
        </w:tc>
        <w:tc>
          <w:tcPr>
            <w:tcW w:w="1842" w:type="dxa"/>
            <w:tcBorders>
              <w:top w:val="single" w:sz="12" w:space="0" w:color="auto"/>
              <w:left w:val="nil"/>
              <w:bottom w:val="single" w:sz="18" w:space="0" w:color="auto"/>
              <w:right w:val="nil"/>
            </w:tcBorders>
            <w:shd w:val="clear" w:color="auto" w:fill="auto"/>
            <w:noWrap/>
            <w:vAlign w:val="bottom"/>
            <w:hideMark/>
          </w:tcPr>
          <w:p w14:paraId="18779474" w14:textId="6652DDF6" w:rsidR="00A56700" w:rsidRPr="005162B9" w:rsidRDefault="00A56700" w:rsidP="00890E78">
            <w:pPr>
              <w:spacing w:before="95"/>
              <w:ind w:left="107"/>
              <w:jc w:val="right"/>
              <w:rPr>
                <w:rFonts w:ascii="Arial" w:hAnsi="Arial" w:cs="Arial"/>
                <w:noProof/>
                <w:sz w:val="16"/>
                <w:szCs w:val="16"/>
              </w:rPr>
            </w:pPr>
            <w:r w:rsidRPr="005162B9">
              <w:rPr>
                <w:rFonts w:ascii="Arial" w:hAnsi="Arial" w:cs="Arial"/>
                <w:noProof/>
                <w:sz w:val="16"/>
                <w:szCs w:val="16"/>
              </w:rPr>
              <w:t>2,</w:t>
            </w:r>
            <w:r w:rsidR="005162B9" w:rsidRPr="005162B9">
              <w:rPr>
                <w:rFonts w:ascii="Arial" w:hAnsi="Arial" w:cs="Arial"/>
                <w:noProof/>
                <w:sz w:val="16"/>
                <w:szCs w:val="16"/>
              </w:rPr>
              <w:t>350,593</w:t>
            </w:r>
          </w:p>
        </w:tc>
        <w:tc>
          <w:tcPr>
            <w:tcW w:w="1701" w:type="dxa"/>
            <w:tcBorders>
              <w:top w:val="single" w:sz="12" w:space="0" w:color="auto"/>
              <w:left w:val="nil"/>
              <w:bottom w:val="single" w:sz="18" w:space="0" w:color="auto"/>
              <w:right w:val="nil"/>
            </w:tcBorders>
            <w:shd w:val="clear" w:color="auto" w:fill="auto"/>
            <w:noWrap/>
            <w:vAlign w:val="bottom"/>
            <w:hideMark/>
          </w:tcPr>
          <w:p w14:paraId="3E86DB0A" w14:textId="7DAC4F23" w:rsidR="00A56700" w:rsidRPr="005162B9" w:rsidRDefault="00A56700" w:rsidP="00890E78">
            <w:pPr>
              <w:spacing w:before="95"/>
              <w:ind w:left="107"/>
              <w:jc w:val="right"/>
              <w:rPr>
                <w:rFonts w:ascii="Arial" w:hAnsi="Arial" w:cs="Arial"/>
                <w:noProof/>
                <w:sz w:val="16"/>
                <w:szCs w:val="16"/>
              </w:rPr>
            </w:pPr>
            <w:r w:rsidRPr="005162B9">
              <w:rPr>
                <w:rFonts w:ascii="Arial" w:hAnsi="Arial" w:cs="Arial"/>
                <w:noProof/>
                <w:sz w:val="16"/>
                <w:szCs w:val="16"/>
              </w:rPr>
              <w:t>(</w:t>
            </w:r>
            <w:r w:rsidR="005162B9" w:rsidRPr="005162B9">
              <w:rPr>
                <w:rFonts w:ascii="Arial" w:hAnsi="Arial" w:cs="Arial"/>
                <w:noProof/>
                <w:sz w:val="16"/>
                <w:szCs w:val="16"/>
              </w:rPr>
              <w:t>287,216</w:t>
            </w:r>
            <w:r w:rsidRPr="005162B9">
              <w:rPr>
                <w:rFonts w:ascii="Arial" w:hAnsi="Arial" w:cs="Arial"/>
                <w:noProof/>
                <w:sz w:val="16"/>
                <w:szCs w:val="16"/>
              </w:rPr>
              <w:t>)</w:t>
            </w:r>
          </w:p>
        </w:tc>
        <w:tc>
          <w:tcPr>
            <w:tcW w:w="1560" w:type="dxa"/>
            <w:tcBorders>
              <w:top w:val="single" w:sz="12" w:space="0" w:color="auto"/>
              <w:left w:val="nil"/>
              <w:bottom w:val="single" w:sz="18" w:space="0" w:color="auto"/>
              <w:right w:val="nil"/>
            </w:tcBorders>
            <w:shd w:val="clear" w:color="auto" w:fill="auto"/>
            <w:noWrap/>
            <w:vAlign w:val="bottom"/>
            <w:hideMark/>
          </w:tcPr>
          <w:p w14:paraId="568DF19D" w14:textId="27FDC168" w:rsidR="00A56700" w:rsidRPr="005162B9" w:rsidRDefault="00A56700" w:rsidP="00890E78">
            <w:pPr>
              <w:spacing w:before="95"/>
              <w:ind w:left="107"/>
              <w:jc w:val="right"/>
              <w:rPr>
                <w:rFonts w:ascii="Arial" w:hAnsi="Arial" w:cs="Arial"/>
                <w:noProof/>
                <w:sz w:val="16"/>
                <w:szCs w:val="16"/>
              </w:rPr>
            </w:pPr>
            <w:r w:rsidRPr="005162B9">
              <w:rPr>
                <w:rFonts w:ascii="Arial" w:hAnsi="Arial" w:cs="Arial"/>
                <w:noProof/>
                <w:sz w:val="16"/>
                <w:szCs w:val="16"/>
              </w:rPr>
              <w:t>(</w:t>
            </w:r>
            <w:r w:rsidR="005162B9" w:rsidRPr="005162B9">
              <w:rPr>
                <w:rFonts w:ascii="Arial" w:hAnsi="Arial" w:cs="Arial"/>
                <w:noProof/>
                <w:sz w:val="16"/>
                <w:szCs w:val="16"/>
              </w:rPr>
              <w:t>40,</w:t>
            </w:r>
            <w:r w:rsidR="00CD783C">
              <w:rPr>
                <w:rFonts w:ascii="Arial" w:hAnsi="Arial" w:cs="Arial"/>
                <w:noProof/>
                <w:sz w:val="16"/>
                <w:szCs w:val="16"/>
              </w:rPr>
              <w:t>834</w:t>
            </w:r>
            <w:r w:rsidR="005162B9" w:rsidRPr="005162B9">
              <w:rPr>
                <w:rFonts w:ascii="Arial" w:hAnsi="Arial" w:cs="Arial"/>
                <w:noProof/>
                <w:sz w:val="16"/>
                <w:szCs w:val="16"/>
              </w:rPr>
              <w:t>,518</w:t>
            </w:r>
            <w:r w:rsidRPr="005162B9">
              <w:rPr>
                <w:rFonts w:ascii="Arial" w:hAnsi="Arial" w:cs="Arial"/>
                <w:noProof/>
                <w:sz w:val="16"/>
                <w:szCs w:val="16"/>
              </w:rPr>
              <w:t>)</w:t>
            </w:r>
          </w:p>
        </w:tc>
        <w:tc>
          <w:tcPr>
            <w:tcW w:w="1559" w:type="dxa"/>
            <w:tcBorders>
              <w:top w:val="single" w:sz="12" w:space="0" w:color="auto"/>
              <w:left w:val="nil"/>
              <w:bottom w:val="single" w:sz="18" w:space="0" w:color="auto"/>
              <w:right w:val="nil"/>
            </w:tcBorders>
            <w:shd w:val="clear" w:color="auto" w:fill="auto"/>
            <w:noWrap/>
            <w:vAlign w:val="bottom"/>
            <w:hideMark/>
          </w:tcPr>
          <w:p w14:paraId="1E7AEBDA" w14:textId="4CF186B4" w:rsidR="00A56700" w:rsidRPr="005162B9" w:rsidRDefault="00A56700" w:rsidP="00890E78">
            <w:pPr>
              <w:spacing w:before="95"/>
              <w:ind w:left="107"/>
              <w:jc w:val="right"/>
              <w:rPr>
                <w:rFonts w:ascii="Arial" w:hAnsi="Arial" w:cs="Arial"/>
                <w:noProof/>
                <w:sz w:val="16"/>
                <w:szCs w:val="16"/>
              </w:rPr>
            </w:pPr>
            <w:r w:rsidRPr="005162B9">
              <w:rPr>
                <w:rFonts w:ascii="Arial" w:hAnsi="Arial" w:cs="Arial"/>
                <w:noProof/>
                <w:sz w:val="16"/>
                <w:szCs w:val="16"/>
              </w:rPr>
              <w:t>3,</w:t>
            </w:r>
            <w:r w:rsidR="005162B9" w:rsidRPr="005162B9">
              <w:rPr>
                <w:rFonts w:ascii="Arial" w:hAnsi="Arial" w:cs="Arial"/>
                <w:noProof/>
                <w:sz w:val="16"/>
                <w:szCs w:val="16"/>
              </w:rPr>
              <w:t>094,43</w:t>
            </w:r>
            <w:r w:rsidR="00B34982">
              <w:rPr>
                <w:rFonts w:ascii="Arial" w:hAnsi="Arial" w:cs="Arial"/>
                <w:noProof/>
                <w:sz w:val="16"/>
                <w:szCs w:val="16"/>
              </w:rPr>
              <w:t>4</w:t>
            </w:r>
          </w:p>
        </w:tc>
      </w:tr>
      <w:tr w:rsidR="00A56700" w:rsidRPr="005162B9" w14:paraId="0A422872" w14:textId="77777777" w:rsidTr="005162B9">
        <w:trPr>
          <w:trHeight w:val="328"/>
        </w:trPr>
        <w:tc>
          <w:tcPr>
            <w:tcW w:w="0" w:type="auto"/>
            <w:vAlign w:val="bottom"/>
          </w:tcPr>
          <w:p w14:paraId="1E9441C2" w14:textId="2542F1AF" w:rsidR="00A56700" w:rsidRPr="005162B9" w:rsidRDefault="00A56700" w:rsidP="00A56700">
            <w:pPr>
              <w:spacing w:before="95"/>
              <w:ind w:left="107"/>
              <w:rPr>
                <w:rFonts w:ascii="Arial" w:hAnsi="Arial" w:cs="Arial"/>
                <w:noProof/>
                <w:sz w:val="16"/>
                <w:szCs w:val="16"/>
              </w:rPr>
            </w:pPr>
            <w:r w:rsidRPr="005162B9">
              <w:rPr>
                <w:rFonts w:ascii="Arial" w:hAnsi="Arial" w:cs="Arial"/>
                <w:noProof/>
                <w:sz w:val="16"/>
                <w:szCs w:val="16"/>
              </w:rPr>
              <w:t>Share based payments</w:t>
            </w:r>
            <w:r w:rsidRPr="005162B9">
              <w:rPr>
                <w:rFonts w:ascii="Arial" w:hAnsi="Arial" w:cs="Arial"/>
                <w:i/>
                <w:iCs/>
                <w:noProof/>
                <w:sz w:val="16"/>
                <w:szCs w:val="16"/>
              </w:rPr>
              <w:t xml:space="preserve"> [note </w:t>
            </w:r>
            <w:r w:rsidR="005E2F0E" w:rsidRPr="005162B9">
              <w:rPr>
                <w:rFonts w:ascii="Arial" w:hAnsi="Arial" w:cs="Arial"/>
                <w:i/>
                <w:iCs/>
                <w:noProof/>
                <w:sz w:val="16"/>
                <w:szCs w:val="16"/>
              </w:rPr>
              <w:t>8</w:t>
            </w:r>
            <w:r w:rsidRPr="005162B9">
              <w:rPr>
                <w:rFonts w:ascii="Arial" w:hAnsi="Arial" w:cs="Arial"/>
                <w:i/>
                <w:iCs/>
                <w:noProof/>
                <w:sz w:val="16"/>
                <w:szCs w:val="16"/>
              </w:rPr>
              <w:t>]</w:t>
            </w:r>
          </w:p>
        </w:tc>
        <w:tc>
          <w:tcPr>
            <w:tcW w:w="1213" w:type="dxa"/>
            <w:vAlign w:val="bottom"/>
          </w:tcPr>
          <w:p w14:paraId="38AB7D54" w14:textId="33F904C0" w:rsidR="00A56700" w:rsidRPr="005162B9" w:rsidRDefault="00A56700" w:rsidP="00A56700">
            <w:pPr>
              <w:jc w:val="right"/>
              <w:rPr>
                <w:rFonts w:ascii="Arial" w:hAnsi="Arial" w:cs="Arial"/>
                <w:noProof/>
                <w:sz w:val="16"/>
                <w:szCs w:val="16"/>
              </w:rPr>
            </w:pPr>
            <w:r w:rsidRPr="005162B9">
              <w:rPr>
                <w:rFonts w:ascii="Arial" w:hAnsi="Arial" w:cs="Arial"/>
                <w:noProof/>
                <w:sz w:val="16"/>
                <w:szCs w:val="16"/>
              </w:rPr>
              <w:t>-</w:t>
            </w:r>
          </w:p>
        </w:tc>
        <w:tc>
          <w:tcPr>
            <w:tcW w:w="1701" w:type="dxa"/>
            <w:vAlign w:val="bottom"/>
          </w:tcPr>
          <w:p w14:paraId="25F3CECB" w14:textId="7338189B"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w:t>
            </w:r>
          </w:p>
        </w:tc>
        <w:tc>
          <w:tcPr>
            <w:tcW w:w="1842" w:type="dxa"/>
            <w:shd w:val="clear" w:color="auto" w:fill="auto"/>
            <w:noWrap/>
            <w:vAlign w:val="bottom"/>
          </w:tcPr>
          <w:p w14:paraId="1550FBF8" w14:textId="5FE63827" w:rsidR="00A56700" w:rsidRPr="005162B9" w:rsidRDefault="005162B9" w:rsidP="00A56700">
            <w:pPr>
              <w:spacing w:before="95"/>
              <w:ind w:left="107"/>
              <w:jc w:val="right"/>
              <w:rPr>
                <w:rFonts w:ascii="Arial" w:hAnsi="Arial" w:cs="Arial"/>
                <w:noProof/>
                <w:sz w:val="16"/>
                <w:szCs w:val="16"/>
              </w:rPr>
            </w:pPr>
            <w:r w:rsidRPr="005162B9">
              <w:rPr>
                <w:rFonts w:ascii="Arial" w:hAnsi="Arial" w:cs="Arial"/>
                <w:noProof/>
                <w:sz w:val="16"/>
                <w:szCs w:val="16"/>
              </w:rPr>
              <w:t>338,42</w:t>
            </w:r>
            <w:r w:rsidR="001A1BBD">
              <w:rPr>
                <w:rFonts w:ascii="Arial" w:hAnsi="Arial" w:cs="Arial"/>
                <w:noProof/>
                <w:sz w:val="16"/>
                <w:szCs w:val="16"/>
              </w:rPr>
              <w:t>8</w:t>
            </w:r>
          </w:p>
        </w:tc>
        <w:tc>
          <w:tcPr>
            <w:tcW w:w="1701" w:type="dxa"/>
            <w:shd w:val="clear" w:color="auto" w:fill="auto"/>
            <w:vAlign w:val="bottom"/>
          </w:tcPr>
          <w:p w14:paraId="5EDF11BD" w14:textId="04BC0211"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w:t>
            </w:r>
          </w:p>
        </w:tc>
        <w:tc>
          <w:tcPr>
            <w:tcW w:w="1560" w:type="dxa"/>
            <w:shd w:val="clear" w:color="auto" w:fill="auto"/>
            <w:vAlign w:val="bottom"/>
          </w:tcPr>
          <w:p w14:paraId="2EB865CA" w14:textId="0DA18FCB"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w:t>
            </w:r>
          </w:p>
        </w:tc>
        <w:tc>
          <w:tcPr>
            <w:tcW w:w="1559" w:type="dxa"/>
            <w:shd w:val="clear" w:color="auto" w:fill="auto"/>
            <w:noWrap/>
            <w:vAlign w:val="bottom"/>
          </w:tcPr>
          <w:p w14:paraId="7325BFF6" w14:textId="07A77757" w:rsidR="00A56700" w:rsidRPr="005162B9" w:rsidRDefault="005162B9" w:rsidP="00A56700">
            <w:pPr>
              <w:spacing w:before="95"/>
              <w:ind w:left="107"/>
              <w:jc w:val="right"/>
              <w:rPr>
                <w:rFonts w:ascii="Arial" w:hAnsi="Arial" w:cs="Arial"/>
                <w:noProof/>
                <w:sz w:val="16"/>
                <w:szCs w:val="16"/>
              </w:rPr>
            </w:pPr>
            <w:r w:rsidRPr="005162B9">
              <w:rPr>
                <w:rFonts w:ascii="Arial" w:hAnsi="Arial" w:cs="Arial"/>
                <w:noProof/>
                <w:sz w:val="16"/>
                <w:szCs w:val="16"/>
              </w:rPr>
              <w:t>338,42</w:t>
            </w:r>
            <w:r w:rsidR="001A1BBD">
              <w:rPr>
                <w:rFonts w:ascii="Arial" w:hAnsi="Arial" w:cs="Arial"/>
                <w:noProof/>
                <w:sz w:val="16"/>
                <w:szCs w:val="16"/>
              </w:rPr>
              <w:t>8</w:t>
            </w:r>
          </w:p>
        </w:tc>
      </w:tr>
      <w:tr w:rsidR="00A56700" w:rsidRPr="005162B9" w14:paraId="6B39A6B8" w14:textId="77777777" w:rsidTr="005162B9">
        <w:trPr>
          <w:trHeight w:val="328"/>
        </w:trPr>
        <w:tc>
          <w:tcPr>
            <w:tcW w:w="0" w:type="auto"/>
            <w:vAlign w:val="bottom"/>
          </w:tcPr>
          <w:p w14:paraId="3A7A40AE" w14:textId="407E72EA" w:rsidR="00A56700" w:rsidRPr="005162B9" w:rsidRDefault="00A56700" w:rsidP="00A56700">
            <w:pPr>
              <w:spacing w:before="95"/>
              <w:ind w:left="107"/>
              <w:rPr>
                <w:rFonts w:ascii="Arial" w:hAnsi="Arial" w:cs="Arial"/>
                <w:noProof/>
                <w:sz w:val="16"/>
                <w:szCs w:val="16"/>
              </w:rPr>
            </w:pPr>
            <w:r w:rsidRPr="005162B9">
              <w:rPr>
                <w:rFonts w:ascii="Arial" w:hAnsi="Arial" w:cs="Arial"/>
                <w:noProof/>
                <w:sz w:val="16"/>
                <w:szCs w:val="16"/>
              </w:rPr>
              <w:t>Exchange difference on translating foreign operations</w:t>
            </w:r>
          </w:p>
        </w:tc>
        <w:tc>
          <w:tcPr>
            <w:tcW w:w="1213" w:type="dxa"/>
            <w:vAlign w:val="bottom"/>
          </w:tcPr>
          <w:p w14:paraId="7F103537" w14:textId="173AD679" w:rsidR="00A56700" w:rsidRPr="005162B9" w:rsidRDefault="00A56700" w:rsidP="00A56700">
            <w:pPr>
              <w:jc w:val="right"/>
              <w:rPr>
                <w:rFonts w:ascii="Arial" w:hAnsi="Arial" w:cs="Arial"/>
                <w:noProof/>
                <w:sz w:val="16"/>
                <w:szCs w:val="16"/>
              </w:rPr>
            </w:pPr>
            <w:r w:rsidRPr="005162B9">
              <w:rPr>
                <w:rFonts w:ascii="Arial" w:hAnsi="Arial" w:cs="Arial"/>
                <w:noProof/>
                <w:sz w:val="16"/>
                <w:szCs w:val="16"/>
              </w:rPr>
              <w:t>-</w:t>
            </w:r>
          </w:p>
        </w:tc>
        <w:tc>
          <w:tcPr>
            <w:tcW w:w="1701" w:type="dxa"/>
            <w:vAlign w:val="bottom"/>
          </w:tcPr>
          <w:p w14:paraId="2BD66F4D" w14:textId="47429ED2" w:rsidR="00A56700" w:rsidRPr="005162B9" w:rsidRDefault="00A56700" w:rsidP="00A56700">
            <w:pPr>
              <w:spacing w:before="95"/>
              <w:ind w:left="107"/>
              <w:jc w:val="right"/>
              <w:rPr>
                <w:rFonts w:ascii="Arial" w:hAnsi="Arial" w:cs="Arial"/>
                <w:noProof/>
                <w:sz w:val="16"/>
                <w:szCs w:val="16"/>
              </w:rPr>
            </w:pPr>
            <w:r w:rsidRPr="005162B9">
              <w:rPr>
                <w:rFonts w:ascii="Arial" w:hAnsi="Arial" w:cs="Arial"/>
                <w:noProof/>
                <w:sz w:val="16"/>
                <w:szCs w:val="16"/>
              </w:rPr>
              <w:t>-</w:t>
            </w:r>
          </w:p>
        </w:tc>
        <w:tc>
          <w:tcPr>
            <w:tcW w:w="1842" w:type="dxa"/>
            <w:noWrap/>
            <w:vAlign w:val="bottom"/>
          </w:tcPr>
          <w:p w14:paraId="5C789B3D" w14:textId="475F6413" w:rsidR="00A56700" w:rsidRPr="005162B9" w:rsidRDefault="00947F10" w:rsidP="00A56700">
            <w:pPr>
              <w:spacing w:before="95"/>
              <w:ind w:left="107"/>
              <w:jc w:val="right"/>
              <w:rPr>
                <w:rFonts w:ascii="Arial" w:hAnsi="Arial" w:cs="Arial"/>
                <w:noProof/>
                <w:sz w:val="16"/>
                <w:szCs w:val="16"/>
              </w:rPr>
            </w:pPr>
            <w:r w:rsidRPr="005162B9">
              <w:rPr>
                <w:rFonts w:ascii="Arial" w:hAnsi="Arial" w:cs="Arial"/>
                <w:noProof/>
                <w:sz w:val="16"/>
                <w:szCs w:val="16"/>
              </w:rPr>
              <w:t>-</w:t>
            </w:r>
          </w:p>
        </w:tc>
        <w:tc>
          <w:tcPr>
            <w:tcW w:w="1701" w:type="dxa"/>
            <w:vAlign w:val="bottom"/>
          </w:tcPr>
          <w:p w14:paraId="19E84AD4" w14:textId="5E390741" w:rsidR="00A56700" w:rsidRPr="005162B9" w:rsidRDefault="005162B9" w:rsidP="00A56700">
            <w:pPr>
              <w:spacing w:before="95"/>
              <w:ind w:left="107"/>
              <w:jc w:val="right"/>
              <w:rPr>
                <w:rFonts w:ascii="Arial" w:hAnsi="Arial" w:cs="Arial"/>
                <w:noProof/>
                <w:sz w:val="16"/>
                <w:szCs w:val="16"/>
              </w:rPr>
            </w:pPr>
            <w:r w:rsidRPr="005162B9">
              <w:rPr>
                <w:rFonts w:ascii="Arial" w:hAnsi="Arial" w:cs="Arial"/>
                <w:noProof/>
                <w:sz w:val="16"/>
                <w:szCs w:val="16"/>
              </w:rPr>
              <w:t>7</w:t>
            </w:r>
            <w:r w:rsidR="001A1BBD">
              <w:rPr>
                <w:rFonts w:ascii="Arial" w:hAnsi="Arial" w:cs="Arial"/>
                <w:noProof/>
                <w:sz w:val="16"/>
                <w:szCs w:val="16"/>
              </w:rPr>
              <w:t>4,521</w:t>
            </w:r>
          </w:p>
        </w:tc>
        <w:tc>
          <w:tcPr>
            <w:tcW w:w="1560" w:type="dxa"/>
            <w:vAlign w:val="bottom"/>
          </w:tcPr>
          <w:p w14:paraId="7F8B6E6B" w14:textId="73BE976B" w:rsidR="00A56700" w:rsidRPr="005162B9" w:rsidRDefault="005162B9" w:rsidP="00A56700">
            <w:pPr>
              <w:spacing w:before="95"/>
              <w:ind w:left="107"/>
              <w:jc w:val="right"/>
              <w:rPr>
                <w:rFonts w:ascii="Arial" w:hAnsi="Arial" w:cs="Arial"/>
                <w:noProof/>
                <w:sz w:val="16"/>
                <w:szCs w:val="16"/>
              </w:rPr>
            </w:pPr>
            <w:r w:rsidRPr="005162B9">
              <w:rPr>
                <w:rFonts w:ascii="Arial" w:hAnsi="Arial" w:cs="Arial"/>
                <w:noProof/>
                <w:sz w:val="16"/>
                <w:szCs w:val="16"/>
              </w:rPr>
              <w:t>-</w:t>
            </w:r>
          </w:p>
        </w:tc>
        <w:tc>
          <w:tcPr>
            <w:tcW w:w="1559" w:type="dxa"/>
            <w:noWrap/>
            <w:vAlign w:val="bottom"/>
          </w:tcPr>
          <w:p w14:paraId="2318030C" w14:textId="37C6E46F" w:rsidR="00A56700" w:rsidRPr="005162B9" w:rsidRDefault="005162B9" w:rsidP="00A56700">
            <w:pPr>
              <w:spacing w:before="95"/>
              <w:ind w:left="107"/>
              <w:jc w:val="right"/>
              <w:rPr>
                <w:rFonts w:ascii="Arial" w:hAnsi="Arial" w:cs="Arial"/>
                <w:noProof/>
                <w:sz w:val="16"/>
                <w:szCs w:val="16"/>
              </w:rPr>
            </w:pPr>
            <w:r w:rsidRPr="005162B9">
              <w:rPr>
                <w:rFonts w:ascii="Arial" w:hAnsi="Arial" w:cs="Arial"/>
                <w:noProof/>
                <w:sz w:val="16"/>
                <w:szCs w:val="16"/>
              </w:rPr>
              <w:t>7</w:t>
            </w:r>
            <w:r w:rsidR="001A1BBD">
              <w:rPr>
                <w:rFonts w:ascii="Arial" w:hAnsi="Arial" w:cs="Arial"/>
                <w:noProof/>
                <w:sz w:val="16"/>
                <w:szCs w:val="16"/>
              </w:rPr>
              <w:t>4,521</w:t>
            </w:r>
          </w:p>
        </w:tc>
      </w:tr>
      <w:tr w:rsidR="00DB4DB9" w:rsidRPr="005162B9" w14:paraId="3100D6AE" w14:textId="77777777" w:rsidTr="005162B9">
        <w:trPr>
          <w:trHeight w:val="205"/>
        </w:trPr>
        <w:tc>
          <w:tcPr>
            <w:tcW w:w="0" w:type="auto"/>
            <w:tcBorders>
              <w:bottom w:val="single" w:sz="12" w:space="0" w:color="auto"/>
            </w:tcBorders>
            <w:hideMark/>
          </w:tcPr>
          <w:p w14:paraId="3F62F651" w14:textId="426C6BF6" w:rsidR="00DB4DB9" w:rsidRPr="005162B9" w:rsidRDefault="00DB4DB9" w:rsidP="00DB4DB9">
            <w:pPr>
              <w:spacing w:before="95"/>
              <w:ind w:left="107"/>
              <w:rPr>
                <w:rFonts w:ascii="Arial" w:hAnsi="Arial" w:cs="Arial"/>
                <w:noProof/>
                <w:sz w:val="16"/>
                <w:szCs w:val="16"/>
              </w:rPr>
            </w:pPr>
            <w:r w:rsidRPr="005162B9">
              <w:rPr>
                <w:rFonts w:ascii="Arial" w:hAnsi="Arial" w:cs="Arial"/>
                <w:noProof/>
                <w:sz w:val="16"/>
                <w:szCs w:val="16"/>
              </w:rPr>
              <w:t>Loss  for the year</w:t>
            </w:r>
          </w:p>
        </w:tc>
        <w:tc>
          <w:tcPr>
            <w:tcW w:w="1213" w:type="dxa"/>
            <w:tcBorders>
              <w:bottom w:val="single" w:sz="12" w:space="0" w:color="auto"/>
            </w:tcBorders>
            <w:vAlign w:val="bottom"/>
          </w:tcPr>
          <w:p w14:paraId="529058CB" w14:textId="545ACECE" w:rsidR="00DB4DB9" w:rsidRPr="005162B9" w:rsidRDefault="00DB4DB9" w:rsidP="00DB4DB9">
            <w:pPr>
              <w:jc w:val="right"/>
              <w:rPr>
                <w:rFonts w:ascii="Arial" w:hAnsi="Arial" w:cs="Arial"/>
                <w:noProof/>
                <w:sz w:val="16"/>
                <w:szCs w:val="16"/>
              </w:rPr>
            </w:pPr>
            <w:r w:rsidRPr="005162B9">
              <w:rPr>
                <w:rFonts w:ascii="Arial" w:hAnsi="Arial" w:cs="Arial"/>
                <w:noProof/>
                <w:sz w:val="16"/>
                <w:szCs w:val="16"/>
              </w:rPr>
              <w:t>-</w:t>
            </w:r>
          </w:p>
        </w:tc>
        <w:tc>
          <w:tcPr>
            <w:tcW w:w="1701" w:type="dxa"/>
            <w:tcBorders>
              <w:bottom w:val="single" w:sz="12" w:space="0" w:color="auto"/>
            </w:tcBorders>
            <w:vAlign w:val="bottom"/>
          </w:tcPr>
          <w:p w14:paraId="06AB35A6" w14:textId="3ABCA395" w:rsidR="00DB4DB9" w:rsidRPr="005162B9" w:rsidRDefault="00DB4DB9" w:rsidP="00DB4DB9">
            <w:pPr>
              <w:spacing w:before="95"/>
              <w:ind w:left="107"/>
              <w:jc w:val="right"/>
              <w:rPr>
                <w:rFonts w:ascii="Arial" w:hAnsi="Arial" w:cs="Arial"/>
                <w:noProof/>
                <w:sz w:val="16"/>
                <w:szCs w:val="16"/>
              </w:rPr>
            </w:pPr>
            <w:r w:rsidRPr="005162B9">
              <w:rPr>
                <w:rFonts w:ascii="Arial" w:hAnsi="Arial" w:cs="Arial"/>
                <w:noProof/>
                <w:sz w:val="16"/>
                <w:szCs w:val="16"/>
              </w:rPr>
              <w:t>-</w:t>
            </w:r>
          </w:p>
        </w:tc>
        <w:tc>
          <w:tcPr>
            <w:tcW w:w="1842" w:type="dxa"/>
            <w:tcBorders>
              <w:bottom w:val="single" w:sz="12" w:space="0" w:color="auto"/>
            </w:tcBorders>
            <w:vAlign w:val="bottom"/>
          </w:tcPr>
          <w:p w14:paraId="7135C2DF" w14:textId="0F171CE4" w:rsidR="00DB4DB9" w:rsidRPr="005162B9" w:rsidRDefault="00DB4DB9" w:rsidP="00DB4DB9">
            <w:pPr>
              <w:spacing w:before="95"/>
              <w:ind w:left="107"/>
              <w:jc w:val="right"/>
              <w:rPr>
                <w:rFonts w:ascii="Arial" w:hAnsi="Arial" w:cs="Arial"/>
                <w:noProof/>
                <w:sz w:val="16"/>
                <w:szCs w:val="16"/>
              </w:rPr>
            </w:pPr>
            <w:r w:rsidRPr="005162B9">
              <w:rPr>
                <w:rFonts w:ascii="Arial" w:hAnsi="Arial" w:cs="Arial"/>
                <w:noProof/>
                <w:sz w:val="16"/>
                <w:szCs w:val="16"/>
              </w:rPr>
              <w:t>-</w:t>
            </w:r>
          </w:p>
        </w:tc>
        <w:tc>
          <w:tcPr>
            <w:tcW w:w="1701" w:type="dxa"/>
            <w:tcBorders>
              <w:bottom w:val="single" w:sz="12" w:space="0" w:color="auto"/>
            </w:tcBorders>
            <w:vAlign w:val="bottom"/>
          </w:tcPr>
          <w:p w14:paraId="3681CD3D" w14:textId="59049071" w:rsidR="00DB4DB9" w:rsidRPr="005162B9" w:rsidRDefault="005162B9" w:rsidP="00DB4DB9">
            <w:pPr>
              <w:spacing w:before="95"/>
              <w:ind w:left="107"/>
              <w:jc w:val="right"/>
              <w:rPr>
                <w:rFonts w:ascii="Arial" w:hAnsi="Arial" w:cs="Arial"/>
                <w:noProof/>
                <w:sz w:val="16"/>
                <w:szCs w:val="16"/>
              </w:rPr>
            </w:pPr>
            <w:r w:rsidRPr="005162B9">
              <w:rPr>
                <w:rFonts w:ascii="Arial" w:hAnsi="Arial" w:cs="Arial"/>
                <w:noProof/>
                <w:sz w:val="16"/>
                <w:szCs w:val="16"/>
              </w:rPr>
              <w:t>-</w:t>
            </w:r>
          </w:p>
        </w:tc>
        <w:tc>
          <w:tcPr>
            <w:tcW w:w="1560" w:type="dxa"/>
            <w:tcBorders>
              <w:bottom w:val="single" w:sz="12" w:space="0" w:color="auto"/>
            </w:tcBorders>
            <w:vAlign w:val="bottom"/>
          </w:tcPr>
          <w:p w14:paraId="2CAB6A1D" w14:textId="27A3A027" w:rsidR="00DB4DB9" w:rsidRPr="005162B9" w:rsidRDefault="00DB4DB9" w:rsidP="00DB4DB9">
            <w:pPr>
              <w:spacing w:before="95"/>
              <w:ind w:left="107"/>
              <w:jc w:val="right"/>
              <w:rPr>
                <w:rFonts w:ascii="Arial" w:hAnsi="Arial" w:cs="Arial"/>
                <w:noProof/>
                <w:sz w:val="16"/>
                <w:szCs w:val="16"/>
              </w:rPr>
            </w:pPr>
            <w:r w:rsidRPr="005162B9">
              <w:rPr>
                <w:rFonts w:ascii="Arial" w:hAnsi="Arial" w:cs="Arial"/>
                <w:noProof/>
                <w:sz w:val="16"/>
                <w:szCs w:val="16"/>
              </w:rPr>
              <w:t>(</w:t>
            </w:r>
            <w:r w:rsidR="00AF0E76" w:rsidRPr="005162B9">
              <w:rPr>
                <w:rFonts w:ascii="Arial" w:hAnsi="Arial" w:cs="Arial"/>
                <w:noProof/>
                <w:sz w:val="16"/>
                <w:szCs w:val="16"/>
              </w:rPr>
              <w:t>2,</w:t>
            </w:r>
            <w:r w:rsidR="000836D1">
              <w:rPr>
                <w:rFonts w:ascii="Arial" w:hAnsi="Arial" w:cs="Arial"/>
                <w:noProof/>
                <w:sz w:val="16"/>
                <w:szCs w:val="16"/>
              </w:rPr>
              <w:t>80</w:t>
            </w:r>
            <w:r w:rsidR="00B465BA">
              <w:rPr>
                <w:rFonts w:ascii="Arial" w:hAnsi="Arial" w:cs="Arial"/>
                <w:noProof/>
                <w:sz w:val="16"/>
                <w:szCs w:val="16"/>
              </w:rPr>
              <w:t>6,204</w:t>
            </w:r>
            <w:r w:rsidRPr="005162B9">
              <w:rPr>
                <w:rFonts w:ascii="Arial" w:hAnsi="Arial" w:cs="Arial"/>
                <w:noProof/>
                <w:sz w:val="16"/>
                <w:szCs w:val="16"/>
              </w:rPr>
              <w:t>)</w:t>
            </w:r>
          </w:p>
        </w:tc>
        <w:tc>
          <w:tcPr>
            <w:tcW w:w="1559" w:type="dxa"/>
            <w:tcBorders>
              <w:bottom w:val="single" w:sz="12" w:space="0" w:color="auto"/>
            </w:tcBorders>
            <w:vAlign w:val="bottom"/>
          </w:tcPr>
          <w:p w14:paraId="4712A2EA" w14:textId="7F5F3808" w:rsidR="00DB4DB9" w:rsidRPr="005162B9" w:rsidRDefault="00A11FCA" w:rsidP="00DB4DB9">
            <w:pPr>
              <w:spacing w:before="95"/>
              <w:ind w:left="107"/>
              <w:jc w:val="right"/>
              <w:rPr>
                <w:rFonts w:ascii="Arial" w:hAnsi="Arial" w:cs="Arial"/>
                <w:noProof/>
                <w:sz w:val="16"/>
                <w:szCs w:val="16"/>
              </w:rPr>
            </w:pPr>
            <w:r w:rsidRPr="005162B9">
              <w:rPr>
                <w:rFonts w:ascii="Arial" w:hAnsi="Arial" w:cs="Arial"/>
                <w:noProof/>
                <w:sz w:val="16"/>
                <w:szCs w:val="16"/>
              </w:rPr>
              <w:t>(</w:t>
            </w:r>
            <w:r w:rsidR="00AF0E76" w:rsidRPr="005162B9">
              <w:rPr>
                <w:rFonts w:ascii="Arial" w:hAnsi="Arial" w:cs="Arial"/>
                <w:noProof/>
                <w:sz w:val="16"/>
                <w:szCs w:val="16"/>
              </w:rPr>
              <w:t>2,</w:t>
            </w:r>
            <w:r w:rsidR="000836D1">
              <w:rPr>
                <w:rFonts w:ascii="Arial" w:hAnsi="Arial" w:cs="Arial"/>
                <w:noProof/>
                <w:sz w:val="16"/>
                <w:szCs w:val="16"/>
              </w:rPr>
              <w:t>80</w:t>
            </w:r>
            <w:r w:rsidR="00B465BA">
              <w:rPr>
                <w:rFonts w:ascii="Arial" w:hAnsi="Arial" w:cs="Arial"/>
                <w:noProof/>
                <w:sz w:val="16"/>
                <w:szCs w:val="16"/>
              </w:rPr>
              <w:t>6,204</w:t>
            </w:r>
            <w:r w:rsidRPr="005162B9">
              <w:rPr>
                <w:rFonts w:ascii="Arial" w:hAnsi="Arial" w:cs="Arial"/>
                <w:noProof/>
                <w:sz w:val="16"/>
                <w:szCs w:val="16"/>
              </w:rPr>
              <w:t>)</w:t>
            </w:r>
          </w:p>
        </w:tc>
      </w:tr>
      <w:tr w:rsidR="00DB4DB9" w:rsidRPr="005162B9" w14:paraId="29518591" w14:textId="77777777" w:rsidTr="005162B9">
        <w:trPr>
          <w:trHeight w:val="411"/>
        </w:trPr>
        <w:tc>
          <w:tcPr>
            <w:tcW w:w="0" w:type="auto"/>
            <w:tcBorders>
              <w:top w:val="single" w:sz="12" w:space="0" w:color="auto"/>
              <w:left w:val="nil"/>
              <w:bottom w:val="single" w:sz="18" w:space="0" w:color="auto"/>
              <w:right w:val="nil"/>
            </w:tcBorders>
            <w:hideMark/>
          </w:tcPr>
          <w:p w14:paraId="0838ABBA" w14:textId="284FC94F" w:rsidR="00DB4DB9" w:rsidRPr="005162B9" w:rsidRDefault="00DB4DB9" w:rsidP="00DB4DB9">
            <w:pPr>
              <w:spacing w:before="95"/>
              <w:ind w:left="107"/>
              <w:rPr>
                <w:rFonts w:ascii="Arial" w:hAnsi="Arial" w:cs="Arial"/>
                <w:b/>
                <w:bCs/>
                <w:noProof/>
                <w:sz w:val="16"/>
                <w:szCs w:val="16"/>
              </w:rPr>
            </w:pPr>
            <w:r w:rsidRPr="005162B9">
              <w:rPr>
                <w:rFonts w:ascii="Arial" w:hAnsi="Arial" w:cs="Arial"/>
                <w:b/>
                <w:bCs/>
                <w:noProof/>
                <w:sz w:val="16"/>
                <w:szCs w:val="16"/>
              </w:rPr>
              <w:t>Balance as at</w:t>
            </w:r>
            <w:r w:rsidRPr="005162B9">
              <w:rPr>
                <w:rFonts w:ascii="Arial" w:hAnsi="Arial" w:cs="Arial"/>
                <w:b/>
                <w:bCs/>
                <w:noProof/>
                <w:sz w:val="16"/>
                <w:szCs w:val="16"/>
              </w:rPr>
              <w:br/>
              <w:t>December 31, 202</w:t>
            </w:r>
            <w:r w:rsidR="00425778">
              <w:rPr>
                <w:rFonts w:ascii="Arial" w:hAnsi="Arial" w:cs="Arial"/>
                <w:b/>
                <w:bCs/>
                <w:noProof/>
                <w:sz w:val="16"/>
                <w:szCs w:val="16"/>
              </w:rPr>
              <w:t>3</w:t>
            </w:r>
          </w:p>
        </w:tc>
        <w:tc>
          <w:tcPr>
            <w:tcW w:w="1213" w:type="dxa"/>
            <w:tcBorders>
              <w:top w:val="single" w:sz="12" w:space="0" w:color="auto"/>
              <w:left w:val="nil"/>
              <w:bottom w:val="single" w:sz="18" w:space="0" w:color="auto"/>
              <w:right w:val="nil"/>
            </w:tcBorders>
            <w:vAlign w:val="bottom"/>
          </w:tcPr>
          <w:p w14:paraId="0120C23C" w14:textId="0EBB71CB" w:rsidR="00DB4DB9" w:rsidRPr="005162B9" w:rsidRDefault="00DB4DB9" w:rsidP="00DB4DB9">
            <w:pPr>
              <w:spacing w:before="95"/>
              <w:ind w:left="107"/>
              <w:jc w:val="right"/>
              <w:rPr>
                <w:rFonts w:ascii="Arial" w:hAnsi="Arial" w:cs="Arial"/>
                <w:b/>
                <w:bCs/>
                <w:noProof/>
                <w:sz w:val="16"/>
                <w:szCs w:val="16"/>
              </w:rPr>
            </w:pPr>
            <w:r w:rsidRPr="005162B9">
              <w:rPr>
                <w:rFonts w:ascii="Arial" w:hAnsi="Arial" w:cs="Arial"/>
                <w:b/>
                <w:bCs/>
                <w:noProof/>
                <w:sz w:val="16"/>
                <w:szCs w:val="16"/>
              </w:rPr>
              <w:t>164,817,648</w:t>
            </w:r>
          </w:p>
        </w:tc>
        <w:tc>
          <w:tcPr>
            <w:tcW w:w="1701" w:type="dxa"/>
            <w:tcBorders>
              <w:top w:val="single" w:sz="12" w:space="0" w:color="auto"/>
              <w:left w:val="nil"/>
              <w:bottom w:val="single" w:sz="18" w:space="0" w:color="auto"/>
              <w:right w:val="nil"/>
            </w:tcBorders>
            <w:noWrap/>
            <w:vAlign w:val="bottom"/>
          </w:tcPr>
          <w:p w14:paraId="60C82C18" w14:textId="3865466E" w:rsidR="00DB4DB9" w:rsidRPr="005162B9" w:rsidRDefault="00AF0E76" w:rsidP="00DB4DB9">
            <w:pPr>
              <w:spacing w:before="95"/>
              <w:ind w:left="107"/>
              <w:jc w:val="right"/>
              <w:rPr>
                <w:rFonts w:ascii="Arial" w:hAnsi="Arial" w:cs="Arial"/>
                <w:b/>
                <w:bCs/>
                <w:noProof/>
                <w:sz w:val="16"/>
                <w:szCs w:val="16"/>
              </w:rPr>
            </w:pPr>
            <w:r w:rsidRPr="005162B9">
              <w:rPr>
                <w:rFonts w:ascii="Arial" w:hAnsi="Arial" w:cs="Arial"/>
                <w:b/>
                <w:bCs/>
                <w:noProof/>
                <w:sz w:val="16"/>
                <w:szCs w:val="16"/>
              </w:rPr>
              <w:t>41,865,575</w:t>
            </w:r>
          </w:p>
        </w:tc>
        <w:tc>
          <w:tcPr>
            <w:tcW w:w="1842" w:type="dxa"/>
            <w:tcBorders>
              <w:top w:val="single" w:sz="12" w:space="0" w:color="auto"/>
              <w:left w:val="nil"/>
              <w:bottom w:val="single" w:sz="18" w:space="0" w:color="auto"/>
              <w:right w:val="nil"/>
            </w:tcBorders>
            <w:noWrap/>
            <w:vAlign w:val="bottom"/>
          </w:tcPr>
          <w:p w14:paraId="7A508CAD" w14:textId="44245127" w:rsidR="00DB4DB9" w:rsidRPr="001A1BBD" w:rsidRDefault="00AF0E76" w:rsidP="00DB4DB9">
            <w:pPr>
              <w:spacing w:before="95"/>
              <w:ind w:left="107"/>
              <w:jc w:val="right"/>
              <w:rPr>
                <w:rFonts w:ascii="Arial" w:hAnsi="Arial" w:cs="Arial"/>
                <w:b/>
                <w:bCs/>
                <w:noProof/>
                <w:sz w:val="16"/>
                <w:szCs w:val="16"/>
                <w:highlight w:val="yellow"/>
              </w:rPr>
            </w:pPr>
            <w:r w:rsidRPr="001A1BBD">
              <w:rPr>
                <w:rFonts w:ascii="Arial" w:hAnsi="Arial" w:cs="Arial"/>
                <w:b/>
                <w:bCs/>
                <w:noProof/>
                <w:sz w:val="16"/>
                <w:szCs w:val="16"/>
              </w:rPr>
              <w:t>2,</w:t>
            </w:r>
            <w:r w:rsidR="005162B9" w:rsidRPr="001A1BBD">
              <w:rPr>
                <w:rFonts w:ascii="Arial" w:hAnsi="Arial" w:cs="Arial"/>
                <w:b/>
                <w:bCs/>
                <w:noProof/>
                <w:sz w:val="16"/>
                <w:szCs w:val="16"/>
              </w:rPr>
              <w:t>689,02</w:t>
            </w:r>
            <w:r w:rsidR="001A1BBD" w:rsidRPr="001A1BBD">
              <w:rPr>
                <w:rFonts w:ascii="Arial" w:hAnsi="Arial" w:cs="Arial"/>
                <w:b/>
                <w:bCs/>
                <w:noProof/>
                <w:sz w:val="16"/>
                <w:szCs w:val="16"/>
              </w:rPr>
              <w:t>1</w:t>
            </w:r>
          </w:p>
        </w:tc>
        <w:tc>
          <w:tcPr>
            <w:tcW w:w="1701" w:type="dxa"/>
            <w:tcBorders>
              <w:top w:val="single" w:sz="12" w:space="0" w:color="auto"/>
              <w:left w:val="nil"/>
              <w:bottom w:val="single" w:sz="18" w:space="0" w:color="auto"/>
              <w:right w:val="nil"/>
            </w:tcBorders>
            <w:noWrap/>
            <w:vAlign w:val="bottom"/>
          </w:tcPr>
          <w:p w14:paraId="7F31CD18" w14:textId="55572CCD" w:rsidR="00DB4DB9" w:rsidRPr="005162B9" w:rsidRDefault="00D322C1" w:rsidP="00DB4DB9">
            <w:pPr>
              <w:spacing w:before="95"/>
              <w:ind w:left="107"/>
              <w:jc w:val="right"/>
              <w:rPr>
                <w:rFonts w:ascii="Arial" w:hAnsi="Arial" w:cs="Arial"/>
                <w:b/>
                <w:bCs/>
                <w:noProof/>
                <w:sz w:val="16"/>
                <w:szCs w:val="16"/>
              </w:rPr>
            </w:pPr>
            <w:r w:rsidRPr="005162B9">
              <w:rPr>
                <w:rFonts w:ascii="Arial" w:hAnsi="Arial" w:cs="Arial"/>
                <w:b/>
                <w:bCs/>
                <w:noProof/>
                <w:sz w:val="16"/>
                <w:szCs w:val="16"/>
              </w:rPr>
              <w:t>(</w:t>
            </w:r>
            <w:r w:rsidR="001A1BBD">
              <w:rPr>
                <w:rFonts w:ascii="Arial" w:hAnsi="Arial" w:cs="Arial"/>
                <w:b/>
                <w:bCs/>
                <w:noProof/>
                <w:sz w:val="16"/>
                <w:szCs w:val="16"/>
              </w:rPr>
              <w:t>212,695</w:t>
            </w:r>
            <w:r w:rsidR="005162B9" w:rsidRPr="005162B9">
              <w:rPr>
                <w:rFonts w:ascii="Arial" w:hAnsi="Arial" w:cs="Arial"/>
                <w:b/>
                <w:bCs/>
                <w:noProof/>
                <w:sz w:val="16"/>
                <w:szCs w:val="16"/>
              </w:rPr>
              <w:t>)</w:t>
            </w:r>
          </w:p>
        </w:tc>
        <w:tc>
          <w:tcPr>
            <w:tcW w:w="1560" w:type="dxa"/>
            <w:tcBorders>
              <w:top w:val="single" w:sz="12" w:space="0" w:color="auto"/>
              <w:left w:val="nil"/>
              <w:bottom w:val="single" w:sz="18" w:space="0" w:color="auto"/>
              <w:right w:val="nil"/>
            </w:tcBorders>
            <w:noWrap/>
            <w:vAlign w:val="bottom"/>
          </w:tcPr>
          <w:p w14:paraId="3496027D" w14:textId="574A9BFA" w:rsidR="00DB4DB9" w:rsidRPr="005162B9" w:rsidRDefault="00F233BE" w:rsidP="00DB4DB9">
            <w:pPr>
              <w:spacing w:before="95"/>
              <w:ind w:left="107"/>
              <w:jc w:val="right"/>
              <w:rPr>
                <w:rFonts w:ascii="Arial" w:hAnsi="Arial" w:cs="Arial"/>
                <w:b/>
                <w:bCs/>
                <w:noProof/>
                <w:sz w:val="16"/>
                <w:szCs w:val="16"/>
              </w:rPr>
            </w:pPr>
            <w:r w:rsidRPr="005162B9">
              <w:rPr>
                <w:rFonts w:ascii="Arial" w:hAnsi="Arial" w:cs="Arial"/>
                <w:b/>
                <w:bCs/>
                <w:noProof/>
                <w:sz w:val="16"/>
                <w:szCs w:val="16"/>
              </w:rPr>
              <w:t>(</w:t>
            </w:r>
            <w:r w:rsidR="00121BFB">
              <w:rPr>
                <w:rFonts w:ascii="Arial" w:hAnsi="Arial" w:cs="Arial"/>
                <w:b/>
                <w:bCs/>
                <w:noProof/>
                <w:sz w:val="16"/>
                <w:szCs w:val="16"/>
              </w:rPr>
              <w:t>43,</w:t>
            </w:r>
            <w:r w:rsidR="000836D1">
              <w:rPr>
                <w:rFonts w:ascii="Arial" w:hAnsi="Arial" w:cs="Arial"/>
                <w:b/>
                <w:bCs/>
                <w:noProof/>
                <w:sz w:val="16"/>
                <w:szCs w:val="16"/>
              </w:rPr>
              <w:t>64</w:t>
            </w:r>
            <w:r w:rsidR="001A1BBD">
              <w:rPr>
                <w:rFonts w:ascii="Arial" w:hAnsi="Arial" w:cs="Arial"/>
                <w:b/>
                <w:bCs/>
                <w:noProof/>
                <w:sz w:val="16"/>
                <w:szCs w:val="16"/>
              </w:rPr>
              <w:t>0,72</w:t>
            </w:r>
            <w:r w:rsidR="00B465BA">
              <w:rPr>
                <w:rFonts w:ascii="Arial" w:hAnsi="Arial" w:cs="Arial"/>
                <w:b/>
                <w:bCs/>
                <w:noProof/>
                <w:sz w:val="16"/>
                <w:szCs w:val="16"/>
              </w:rPr>
              <w:t>2</w:t>
            </w:r>
            <w:r w:rsidRPr="005162B9">
              <w:rPr>
                <w:rFonts w:ascii="Arial" w:hAnsi="Arial" w:cs="Arial"/>
                <w:b/>
                <w:bCs/>
                <w:noProof/>
                <w:sz w:val="16"/>
                <w:szCs w:val="16"/>
              </w:rPr>
              <w:t>)</w:t>
            </w:r>
          </w:p>
        </w:tc>
        <w:tc>
          <w:tcPr>
            <w:tcW w:w="1559" w:type="dxa"/>
            <w:tcBorders>
              <w:top w:val="single" w:sz="12" w:space="0" w:color="auto"/>
              <w:left w:val="nil"/>
              <w:bottom w:val="single" w:sz="18" w:space="0" w:color="auto"/>
              <w:right w:val="nil"/>
            </w:tcBorders>
            <w:noWrap/>
            <w:vAlign w:val="bottom"/>
          </w:tcPr>
          <w:p w14:paraId="79EA371E" w14:textId="4B84BFF3" w:rsidR="00DB4DB9" w:rsidRPr="005162B9" w:rsidRDefault="00121BFB" w:rsidP="00DB4DB9">
            <w:pPr>
              <w:spacing w:before="95"/>
              <w:ind w:left="107"/>
              <w:jc w:val="right"/>
              <w:rPr>
                <w:rFonts w:ascii="Arial" w:hAnsi="Arial" w:cs="Arial"/>
                <w:b/>
                <w:bCs/>
                <w:noProof/>
                <w:sz w:val="16"/>
                <w:szCs w:val="16"/>
              </w:rPr>
            </w:pPr>
            <w:r>
              <w:rPr>
                <w:rFonts w:ascii="Arial" w:hAnsi="Arial" w:cs="Arial"/>
                <w:b/>
                <w:bCs/>
                <w:noProof/>
                <w:sz w:val="16"/>
                <w:szCs w:val="16"/>
              </w:rPr>
              <w:t>7</w:t>
            </w:r>
            <w:r w:rsidR="000836D1">
              <w:rPr>
                <w:rFonts w:ascii="Arial" w:hAnsi="Arial" w:cs="Arial"/>
                <w:b/>
                <w:bCs/>
                <w:noProof/>
                <w:sz w:val="16"/>
                <w:szCs w:val="16"/>
              </w:rPr>
              <w:t>0</w:t>
            </w:r>
            <w:r w:rsidR="001A1BBD">
              <w:rPr>
                <w:rFonts w:ascii="Arial" w:hAnsi="Arial" w:cs="Arial"/>
                <w:b/>
                <w:bCs/>
                <w:noProof/>
                <w:sz w:val="16"/>
                <w:szCs w:val="16"/>
              </w:rPr>
              <w:t>1,17</w:t>
            </w:r>
            <w:r w:rsidR="00B465BA">
              <w:rPr>
                <w:rFonts w:ascii="Arial" w:hAnsi="Arial" w:cs="Arial"/>
                <w:b/>
                <w:bCs/>
                <w:noProof/>
                <w:sz w:val="16"/>
                <w:szCs w:val="16"/>
              </w:rPr>
              <w:t>9</w:t>
            </w:r>
          </w:p>
        </w:tc>
      </w:tr>
      <w:bookmarkEnd w:id="5"/>
    </w:tbl>
    <w:p w14:paraId="5D34507C" w14:textId="18E4510A" w:rsidR="001A1D15" w:rsidRPr="005162B9" w:rsidRDefault="001A1D15">
      <w:pPr>
        <w:pStyle w:val="BodyText"/>
        <w:spacing w:before="50"/>
        <w:ind w:left="107"/>
        <w:rPr>
          <w:rFonts w:ascii="Arial" w:hAnsi="Arial" w:cs="Arial"/>
        </w:rPr>
      </w:pPr>
    </w:p>
    <w:p w14:paraId="4691789B" w14:textId="77777777" w:rsidR="00CE0C85" w:rsidRPr="00F56223" w:rsidRDefault="00CE0C85" w:rsidP="00CE0C85">
      <w:pPr>
        <w:spacing w:before="95"/>
        <w:ind w:left="107"/>
        <w:rPr>
          <w:rFonts w:ascii="Arial" w:hAnsi="Arial" w:cs="Arial"/>
          <w:i/>
          <w:sz w:val="16"/>
        </w:rPr>
      </w:pPr>
      <w:r w:rsidRPr="005162B9">
        <w:rPr>
          <w:rFonts w:ascii="Arial" w:hAnsi="Arial" w:cs="Arial"/>
          <w:i/>
          <w:sz w:val="16"/>
        </w:rPr>
        <w:t>See accompanying notes to the consolidated financial statements</w:t>
      </w:r>
    </w:p>
    <w:bookmarkEnd w:id="2"/>
    <w:p w14:paraId="7D546544" w14:textId="77777777" w:rsidR="001E0283" w:rsidRPr="005162B9" w:rsidRDefault="001E0283" w:rsidP="001E0283">
      <w:pPr>
        <w:pStyle w:val="BodyText"/>
        <w:spacing w:before="50"/>
        <w:ind w:left="107"/>
        <w:rPr>
          <w:rFonts w:ascii="Arial" w:hAnsi="Arial" w:cs="Arial"/>
        </w:rPr>
      </w:pPr>
    </w:p>
    <w:p w14:paraId="3857EBD4" w14:textId="58A11A59" w:rsidR="00035B0F" w:rsidRPr="00F56223" w:rsidRDefault="00035B0F" w:rsidP="00DB4509">
      <w:pPr>
        <w:pStyle w:val="Heading2"/>
        <w:spacing w:before="91"/>
        <w:ind w:left="0"/>
        <w:jc w:val="left"/>
        <w:rPr>
          <w:rFonts w:ascii="Arial" w:hAnsi="Arial" w:cs="Arial"/>
        </w:rPr>
        <w:sectPr w:rsidR="00035B0F" w:rsidRPr="00F56223" w:rsidSect="004867D3">
          <w:headerReference w:type="default" r:id="rId15"/>
          <w:footerReference w:type="default" r:id="rId16"/>
          <w:pgSz w:w="15840" w:h="12240" w:orient="landscape"/>
          <w:pgMar w:top="1503" w:right="799" w:bottom="278" w:left="1718" w:header="720" w:footer="720" w:gutter="0"/>
          <w:cols w:space="720"/>
        </w:sectPr>
      </w:pPr>
    </w:p>
    <w:p w14:paraId="0E20BBD8" w14:textId="77777777" w:rsidR="00A7016F" w:rsidRPr="00A153FB" w:rsidRDefault="00A7016F" w:rsidP="00A7016F">
      <w:pPr>
        <w:autoSpaceDE w:val="0"/>
        <w:autoSpaceDN w:val="0"/>
        <w:adjustRightInd w:val="0"/>
        <w:ind w:left="851"/>
        <w:jc w:val="both"/>
        <w:rPr>
          <w:rFonts w:ascii="Arial" w:hAnsi="Arial" w:cs="Arial"/>
          <w:sz w:val="16"/>
          <w:szCs w:val="16"/>
        </w:rPr>
      </w:pPr>
    </w:p>
    <w:p w14:paraId="5E621AB5" w14:textId="77777777" w:rsidR="005310AF" w:rsidRPr="00A153FB" w:rsidRDefault="005310AF" w:rsidP="00640FFE">
      <w:pPr>
        <w:autoSpaceDE w:val="0"/>
        <w:autoSpaceDN w:val="0"/>
        <w:adjustRightInd w:val="0"/>
        <w:ind w:left="851"/>
        <w:jc w:val="both"/>
        <w:rPr>
          <w:rFonts w:ascii="Arial" w:hAnsi="Arial" w:cs="Arial"/>
          <w:sz w:val="16"/>
          <w:szCs w:val="16"/>
        </w:rPr>
      </w:pPr>
    </w:p>
    <w:p w14:paraId="00449B8A" w14:textId="77777777" w:rsidR="00035B0F" w:rsidRPr="00A153FB" w:rsidRDefault="005E4909" w:rsidP="001F1E3D">
      <w:pPr>
        <w:pStyle w:val="Heading3"/>
        <w:numPr>
          <w:ilvl w:val="0"/>
          <w:numId w:val="6"/>
        </w:numPr>
        <w:tabs>
          <w:tab w:val="left" w:pos="1002"/>
        </w:tabs>
        <w:ind w:left="851" w:firstLine="0"/>
        <w:rPr>
          <w:rFonts w:ascii="Arial" w:hAnsi="Arial" w:cs="Arial"/>
          <w:sz w:val="16"/>
          <w:szCs w:val="16"/>
        </w:rPr>
      </w:pPr>
      <w:r w:rsidRPr="00A153FB">
        <w:rPr>
          <w:rFonts w:ascii="Arial" w:hAnsi="Arial" w:cs="Arial"/>
          <w:sz w:val="16"/>
          <w:szCs w:val="16"/>
        </w:rPr>
        <w:t>NATURE OF</w:t>
      </w:r>
      <w:r w:rsidRPr="00A153FB">
        <w:rPr>
          <w:rFonts w:ascii="Arial" w:hAnsi="Arial" w:cs="Arial"/>
          <w:spacing w:val="-3"/>
          <w:sz w:val="16"/>
          <w:szCs w:val="16"/>
        </w:rPr>
        <w:t xml:space="preserve"> </w:t>
      </w:r>
      <w:r w:rsidRPr="00A153FB">
        <w:rPr>
          <w:rFonts w:ascii="Arial" w:hAnsi="Arial" w:cs="Arial"/>
          <w:sz w:val="16"/>
          <w:szCs w:val="16"/>
        </w:rPr>
        <w:t>BUSINESS</w:t>
      </w:r>
    </w:p>
    <w:p w14:paraId="630FA9A3" w14:textId="77777777" w:rsidR="00035B0F" w:rsidRPr="00A153FB" w:rsidRDefault="00035B0F" w:rsidP="001F1E3D">
      <w:pPr>
        <w:pStyle w:val="BodyText"/>
        <w:spacing w:before="10"/>
        <w:ind w:left="851"/>
        <w:rPr>
          <w:rFonts w:ascii="Arial" w:hAnsi="Arial" w:cs="Arial"/>
          <w:b/>
        </w:rPr>
      </w:pPr>
    </w:p>
    <w:p w14:paraId="07EF1032" w14:textId="0EC76EED" w:rsidR="00947088" w:rsidRPr="00A153FB" w:rsidRDefault="005E4909" w:rsidP="001F1E3D">
      <w:pPr>
        <w:pStyle w:val="BodyText"/>
        <w:ind w:left="851" w:right="776"/>
        <w:jc w:val="both"/>
        <w:rPr>
          <w:rFonts w:ascii="Arial" w:hAnsi="Arial" w:cs="Arial"/>
        </w:rPr>
      </w:pPr>
      <w:r w:rsidRPr="00A153FB">
        <w:rPr>
          <w:rFonts w:ascii="Arial" w:hAnsi="Arial" w:cs="Arial"/>
        </w:rPr>
        <w:t xml:space="preserve">Wolfden Resources Corporation (the "Corporation" or "Wolfden") was incorporated under the laws of the Province of Ontario on August 12, 2009. The principal business activity of the Corporation is the acquisition, exploration and development of mineral properties that it believes contain mineralization that will be economically recoverable in the future. The office address of the Corporation is </w:t>
      </w:r>
      <w:r w:rsidR="00CD783C">
        <w:rPr>
          <w:rFonts w:ascii="Arial" w:hAnsi="Arial" w:cs="Arial"/>
        </w:rPr>
        <w:t>100 King Street West, Suite 3400, Toronto, Ontario, M5X 1A4</w:t>
      </w:r>
      <w:r w:rsidR="00947088" w:rsidRPr="00A153FB">
        <w:rPr>
          <w:rFonts w:ascii="Arial" w:hAnsi="Arial" w:cs="Arial"/>
        </w:rPr>
        <w:t>.</w:t>
      </w:r>
    </w:p>
    <w:p w14:paraId="7358F9E9" w14:textId="77777777" w:rsidR="00035B0F" w:rsidRPr="00A153FB" w:rsidRDefault="00035B0F" w:rsidP="001F1E3D">
      <w:pPr>
        <w:pStyle w:val="BodyText"/>
        <w:ind w:left="851" w:right="921"/>
        <w:jc w:val="both"/>
        <w:rPr>
          <w:rFonts w:ascii="Arial" w:hAnsi="Arial" w:cs="Arial"/>
        </w:rPr>
      </w:pPr>
    </w:p>
    <w:p w14:paraId="377852F6" w14:textId="77777777" w:rsidR="00035B0F" w:rsidRPr="00A153FB" w:rsidRDefault="005E4909" w:rsidP="001F1E3D">
      <w:pPr>
        <w:pStyle w:val="Heading5"/>
        <w:ind w:left="851"/>
        <w:jc w:val="both"/>
        <w:rPr>
          <w:rFonts w:ascii="Arial" w:hAnsi="Arial" w:cs="Arial"/>
        </w:rPr>
      </w:pPr>
      <w:r w:rsidRPr="00A153FB">
        <w:rPr>
          <w:rFonts w:ascii="Arial" w:hAnsi="Arial" w:cs="Arial"/>
        </w:rPr>
        <w:t>Going concern</w:t>
      </w:r>
    </w:p>
    <w:p w14:paraId="38749986" w14:textId="77777777" w:rsidR="00C12F0B" w:rsidRPr="00A153FB" w:rsidRDefault="00C12F0B" w:rsidP="001F1E3D">
      <w:pPr>
        <w:pStyle w:val="BodyText"/>
        <w:ind w:left="851" w:right="776"/>
        <w:jc w:val="both"/>
        <w:rPr>
          <w:rFonts w:ascii="Arial" w:hAnsi="Arial" w:cs="Arial"/>
        </w:rPr>
      </w:pPr>
    </w:p>
    <w:p w14:paraId="18A8A052" w14:textId="201A706F" w:rsidR="00521979" w:rsidRPr="00A153FB" w:rsidRDefault="005E4909" w:rsidP="001F1E3D">
      <w:pPr>
        <w:pStyle w:val="BodyText"/>
        <w:ind w:left="851" w:right="776"/>
        <w:jc w:val="both"/>
        <w:rPr>
          <w:rFonts w:ascii="Arial" w:hAnsi="Arial" w:cs="Arial"/>
        </w:rPr>
      </w:pPr>
      <w:r w:rsidRPr="00A153FB">
        <w:rPr>
          <w:rFonts w:ascii="Arial" w:hAnsi="Arial" w:cs="Arial"/>
        </w:rPr>
        <w:t xml:space="preserve">The Corporation, being in the exploration stage, is subject to risks and challenges similar to companies in a comparable stage of development. These risks include the challenges of securing adequate capital for exploration, development and operational risks inherent in the mining industry, global economics, health concerns and metal price volatility and there is no assurance management will be successful in its </w:t>
      </w:r>
      <w:r w:rsidR="00116DE9" w:rsidRPr="00A153FB">
        <w:rPr>
          <w:rFonts w:ascii="Arial" w:hAnsi="Arial" w:cs="Arial"/>
        </w:rPr>
        <w:t>endeavors</w:t>
      </w:r>
      <w:r w:rsidRPr="008F3946">
        <w:rPr>
          <w:rFonts w:ascii="Arial" w:hAnsi="Arial" w:cs="Arial"/>
        </w:rPr>
        <w:t xml:space="preserve">. </w:t>
      </w:r>
      <w:r w:rsidR="008E4EF7" w:rsidRPr="008F3946">
        <w:rPr>
          <w:rFonts w:ascii="Arial" w:hAnsi="Arial" w:cs="Arial"/>
        </w:rPr>
        <w:t xml:space="preserve">At December 31, </w:t>
      </w:r>
      <w:r w:rsidR="002701F6" w:rsidRPr="008F3946">
        <w:rPr>
          <w:rFonts w:ascii="Arial" w:hAnsi="Arial" w:cs="Arial"/>
        </w:rPr>
        <w:t>202</w:t>
      </w:r>
      <w:r w:rsidR="008F3946" w:rsidRPr="008F3946">
        <w:rPr>
          <w:rFonts w:ascii="Arial" w:hAnsi="Arial" w:cs="Arial"/>
        </w:rPr>
        <w:t>3</w:t>
      </w:r>
      <w:r w:rsidR="008E4EF7" w:rsidRPr="008F3946">
        <w:rPr>
          <w:rFonts w:ascii="Arial" w:hAnsi="Arial" w:cs="Arial"/>
        </w:rPr>
        <w:t>, the Corporation has no ongoing source of operating cash flow</w:t>
      </w:r>
      <w:r w:rsidR="0004443E" w:rsidRPr="008F3946">
        <w:rPr>
          <w:rFonts w:ascii="Arial" w:hAnsi="Arial" w:cs="Arial"/>
        </w:rPr>
        <w:t>.</w:t>
      </w:r>
      <w:r w:rsidR="00FF4737" w:rsidRPr="008F3946">
        <w:rPr>
          <w:rFonts w:ascii="Arial" w:hAnsi="Arial" w:cs="Arial"/>
        </w:rPr>
        <w:t xml:space="preserve"> </w:t>
      </w:r>
      <w:r w:rsidR="0024365C" w:rsidRPr="008F3946">
        <w:rPr>
          <w:rFonts w:ascii="Arial" w:hAnsi="Arial" w:cs="Arial"/>
        </w:rPr>
        <w:t>T</w:t>
      </w:r>
      <w:r w:rsidR="00AA40FA" w:rsidRPr="008F3946">
        <w:rPr>
          <w:rFonts w:ascii="Arial" w:hAnsi="Arial" w:cs="Arial"/>
        </w:rPr>
        <w:t>he</w:t>
      </w:r>
      <w:r w:rsidR="00FF4737" w:rsidRPr="008F3946">
        <w:rPr>
          <w:rFonts w:ascii="Arial" w:hAnsi="Arial" w:cs="Arial"/>
        </w:rPr>
        <w:t xml:space="preserve"> Corporation incurred a net </w:t>
      </w:r>
      <w:r w:rsidR="00A718DC" w:rsidRPr="008F3946">
        <w:rPr>
          <w:rFonts w:ascii="Arial" w:hAnsi="Arial" w:cs="Arial"/>
        </w:rPr>
        <w:t>loss</w:t>
      </w:r>
      <w:r w:rsidR="00FF4737" w:rsidRPr="008F3946">
        <w:rPr>
          <w:rFonts w:ascii="Arial" w:hAnsi="Arial" w:cs="Arial"/>
        </w:rPr>
        <w:t xml:space="preserve"> of $</w:t>
      </w:r>
      <w:r w:rsidR="002D21AF" w:rsidRPr="008F3946">
        <w:rPr>
          <w:rFonts w:ascii="Arial" w:hAnsi="Arial" w:cs="Arial"/>
        </w:rPr>
        <w:t>2,</w:t>
      </w:r>
      <w:r w:rsidR="009B489B">
        <w:rPr>
          <w:rFonts w:ascii="Arial" w:hAnsi="Arial" w:cs="Arial"/>
        </w:rPr>
        <w:t>80</w:t>
      </w:r>
      <w:r w:rsidR="00FD6936">
        <w:rPr>
          <w:rFonts w:ascii="Arial" w:hAnsi="Arial" w:cs="Arial"/>
        </w:rPr>
        <w:t>6,20</w:t>
      </w:r>
      <w:r w:rsidR="001745AE">
        <w:rPr>
          <w:rFonts w:ascii="Arial" w:hAnsi="Arial" w:cs="Arial"/>
        </w:rPr>
        <w:t>4</w:t>
      </w:r>
      <w:r w:rsidR="002D21AF" w:rsidRPr="008F3946">
        <w:rPr>
          <w:rFonts w:ascii="Arial" w:hAnsi="Arial" w:cs="Arial"/>
        </w:rPr>
        <w:t xml:space="preserve"> </w:t>
      </w:r>
      <w:r w:rsidR="00FF4737" w:rsidRPr="008F3946">
        <w:rPr>
          <w:rFonts w:ascii="Arial" w:hAnsi="Arial" w:cs="Arial"/>
        </w:rPr>
        <w:t xml:space="preserve">for the </w:t>
      </w:r>
      <w:r w:rsidR="002701F6" w:rsidRPr="008F3946">
        <w:rPr>
          <w:rFonts w:ascii="Arial" w:hAnsi="Arial" w:cs="Arial"/>
        </w:rPr>
        <w:t xml:space="preserve">year </w:t>
      </w:r>
      <w:r w:rsidR="00FF4737" w:rsidRPr="008F3946">
        <w:rPr>
          <w:rFonts w:ascii="Arial" w:hAnsi="Arial" w:cs="Arial"/>
        </w:rPr>
        <w:t xml:space="preserve">ended </w:t>
      </w:r>
      <w:r w:rsidR="003C21B6" w:rsidRPr="008F3946">
        <w:rPr>
          <w:rFonts w:ascii="Arial" w:hAnsi="Arial" w:cs="Arial"/>
        </w:rPr>
        <w:t>Dec</w:t>
      </w:r>
      <w:r w:rsidR="00C17F9D" w:rsidRPr="008F3946">
        <w:rPr>
          <w:rFonts w:ascii="Arial" w:hAnsi="Arial" w:cs="Arial"/>
        </w:rPr>
        <w:t>ember</w:t>
      </w:r>
      <w:r w:rsidR="00E86DC2" w:rsidRPr="008F3946">
        <w:rPr>
          <w:rFonts w:ascii="Arial" w:hAnsi="Arial" w:cs="Arial"/>
        </w:rPr>
        <w:t xml:space="preserve"> 3</w:t>
      </w:r>
      <w:r w:rsidR="003C21B6" w:rsidRPr="008F3946">
        <w:rPr>
          <w:rFonts w:ascii="Arial" w:hAnsi="Arial" w:cs="Arial"/>
        </w:rPr>
        <w:t>1</w:t>
      </w:r>
      <w:r w:rsidR="00FF4737" w:rsidRPr="008F3946">
        <w:rPr>
          <w:rFonts w:ascii="Arial" w:hAnsi="Arial" w:cs="Arial"/>
        </w:rPr>
        <w:t>, 20</w:t>
      </w:r>
      <w:r w:rsidR="00AA40FA" w:rsidRPr="008F3946">
        <w:rPr>
          <w:rFonts w:ascii="Arial" w:hAnsi="Arial" w:cs="Arial"/>
        </w:rPr>
        <w:t>2</w:t>
      </w:r>
      <w:r w:rsidR="008F3946" w:rsidRPr="008F3946">
        <w:rPr>
          <w:rFonts w:ascii="Arial" w:hAnsi="Arial" w:cs="Arial"/>
        </w:rPr>
        <w:t>3</w:t>
      </w:r>
      <w:r w:rsidR="00AA40FA" w:rsidRPr="008F3946">
        <w:rPr>
          <w:rFonts w:ascii="Arial" w:hAnsi="Arial" w:cs="Arial"/>
        </w:rPr>
        <w:t xml:space="preserve">, </w:t>
      </w:r>
      <w:r w:rsidR="0024365C" w:rsidRPr="008F3946">
        <w:rPr>
          <w:rFonts w:ascii="Arial" w:hAnsi="Arial" w:cs="Arial"/>
        </w:rPr>
        <w:t>(</w:t>
      </w:r>
      <w:r w:rsidR="00AA40FA" w:rsidRPr="008F3946">
        <w:rPr>
          <w:rFonts w:ascii="Arial" w:hAnsi="Arial" w:cs="Arial"/>
        </w:rPr>
        <w:t>net loss of $</w:t>
      </w:r>
      <w:r w:rsidR="008F3946" w:rsidRPr="008F3946">
        <w:rPr>
          <w:rFonts w:ascii="Arial" w:hAnsi="Arial" w:cs="Arial"/>
        </w:rPr>
        <w:t>2,637,34</w:t>
      </w:r>
      <w:r w:rsidR="00D8506A">
        <w:rPr>
          <w:rFonts w:ascii="Arial" w:hAnsi="Arial" w:cs="Arial"/>
        </w:rPr>
        <w:t>0</w:t>
      </w:r>
      <w:r w:rsidR="00FB44D4" w:rsidRPr="008F3946">
        <w:rPr>
          <w:rFonts w:ascii="Arial" w:hAnsi="Arial" w:cs="Arial"/>
        </w:rPr>
        <w:t xml:space="preserve"> </w:t>
      </w:r>
      <w:r w:rsidR="00AA40FA" w:rsidRPr="008F3946">
        <w:rPr>
          <w:rFonts w:ascii="Arial" w:hAnsi="Arial" w:cs="Arial"/>
        </w:rPr>
        <w:t xml:space="preserve">for the </w:t>
      </w:r>
      <w:r w:rsidR="002701F6" w:rsidRPr="008F3946">
        <w:rPr>
          <w:rFonts w:ascii="Arial" w:hAnsi="Arial" w:cs="Arial"/>
        </w:rPr>
        <w:t xml:space="preserve">year </w:t>
      </w:r>
      <w:r w:rsidR="00AA40FA" w:rsidRPr="008F3946">
        <w:rPr>
          <w:rFonts w:ascii="Arial" w:hAnsi="Arial" w:cs="Arial"/>
        </w:rPr>
        <w:t xml:space="preserve">ended </w:t>
      </w:r>
      <w:r w:rsidR="003C21B6" w:rsidRPr="008F3946">
        <w:rPr>
          <w:rFonts w:ascii="Arial" w:hAnsi="Arial" w:cs="Arial"/>
        </w:rPr>
        <w:t>Decembe</w:t>
      </w:r>
      <w:r w:rsidR="004551DA" w:rsidRPr="008F3946">
        <w:rPr>
          <w:rFonts w:ascii="Arial" w:hAnsi="Arial" w:cs="Arial"/>
        </w:rPr>
        <w:t>r</w:t>
      </w:r>
      <w:r w:rsidR="00FF4737" w:rsidRPr="008F3946">
        <w:rPr>
          <w:rFonts w:ascii="Arial" w:hAnsi="Arial" w:cs="Arial"/>
        </w:rPr>
        <w:t xml:space="preserve"> 3</w:t>
      </w:r>
      <w:r w:rsidR="00AB4D8C" w:rsidRPr="008F3946">
        <w:rPr>
          <w:rFonts w:ascii="Arial" w:hAnsi="Arial" w:cs="Arial"/>
        </w:rPr>
        <w:t>1</w:t>
      </w:r>
      <w:r w:rsidR="00FF4737" w:rsidRPr="008F3946">
        <w:rPr>
          <w:rFonts w:ascii="Arial" w:hAnsi="Arial" w:cs="Arial"/>
        </w:rPr>
        <w:t>, 20</w:t>
      </w:r>
      <w:r w:rsidR="0004443E" w:rsidRPr="008F3946">
        <w:rPr>
          <w:rFonts w:ascii="Arial" w:hAnsi="Arial" w:cs="Arial"/>
        </w:rPr>
        <w:t>2</w:t>
      </w:r>
      <w:r w:rsidR="008F3946" w:rsidRPr="008F3946">
        <w:rPr>
          <w:rFonts w:ascii="Arial" w:hAnsi="Arial" w:cs="Arial"/>
        </w:rPr>
        <w:t>2</w:t>
      </w:r>
      <w:r w:rsidR="0024365C" w:rsidRPr="008F3946">
        <w:rPr>
          <w:rFonts w:ascii="Arial" w:hAnsi="Arial" w:cs="Arial"/>
        </w:rPr>
        <w:t>)</w:t>
      </w:r>
      <w:r w:rsidR="00FF4737" w:rsidRPr="008F3946">
        <w:rPr>
          <w:rFonts w:ascii="Arial" w:hAnsi="Arial" w:cs="Arial"/>
        </w:rPr>
        <w:t xml:space="preserve"> and has accumulated a deficit of </w:t>
      </w:r>
      <w:r w:rsidR="00AA40FA" w:rsidRPr="008F3946">
        <w:rPr>
          <w:rFonts w:ascii="Arial" w:hAnsi="Arial" w:cs="Arial"/>
        </w:rPr>
        <w:t>$</w:t>
      </w:r>
      <w:r w:rsidR="00451010" w:rsidRPr="008F3946">
        <w:rPr>
          <w:rFonts w:ascii="Arial" w:hAnsi="Arial" w:cs="Arial"/>
        </w:rPr>
        <w:t>4</w:t>
      </w:r>
      <w:r w:rsidR="008F3946" w:rsidRPr="008F3946">
        <w:rPr>
          <w:rFonts w:ascii="Arial" w:hAnsi="Arial" w:cs="Arial"/>
        </w:rPr>
        <w:t>3,</w:t>
      </w:r>
      <w:r w:rsidR="009B489B">
        <w:rPr>
          <w:rFonts w:ascii="Arial" w:hAnsi="Arial" w:cs="Arial"/>
        </w:rPr>
        <w:t>64</w:t>
      </w:r>
      <w:r w:rsidR="00FD6936">
        <w:rPr>
          <w:rFonts w:ascii="Arial" w:hAnsi="Arial" w:cs="Arial"/>
        </w:rPr>
        <w:t>0,722</w:t>
      </w:r>
      <w:r w:rsidR="00451010" w:rsidRPr="008F3946">
        <w:rPr>
          <w:rFonts w:ascii="Arial" w:hAnsi="Arial" w:cs="Arial"/>
        </w:rPr>
        <w:t xml:space="preserve"> </w:t>
      </w:r>
      <w:r w:rsidR="00FF4737" w:rsidRPr="008F3946">
        <w:rPr>
          <w:rFonts w:ascii="Arial" w:hAnsi="Arial" w:cs="Arial"/>
        </w:rPr>
        <w:t>(</w:t>
      </w:r>
      <w:r w:rsidR="00A718DC" w:rsidRPr="008F3946">
        <w:rPr>
          <w:rFonts w:ascii="Arial" w:hAnsi="Arial" w:cs="Arial"/>
        </w:rPr>
        <w:t>Dec</w:t>
      </w:r>
      <w:r w:rsidR="004551DA" w:rsidRPr="008F3946">
        <w:rPr>
          <w:rFonts w:ascii="Arial" w:hAnsi="Arial" w:cs="Arial"/>
        </w:rPr>
        <w:t>ember</w:t>
      </w:r>
      <w:r w:rsidR="00FF4737" w:rsidRPr="008F3946">
        <w:rPr>
          <w:rFonts w:ascii="Arial" w:hAnsi="Arial" w:cs="Arial"/>
        </w:rPr>
        <w:t xml:space="preserve"> 3</w:t>
      </w:r>
      <w:r w:rsidR="00A718DC" w:rsidRPr="008F3946">
        <w:rPr>
          <w:rFonts w:ascii="Arial" w:hAnsi="Arial" w:cs="Arial"/>
        </w:rPr>
        <w:t>1</w:t>
      </w:r>
      <w:r w:rsidR="00FF4737" w:rsidRPr="008F3946">
        <w:rPr>
          <w:rFonts w:ascii="Arial" w:hAnsi="Arial" w:cs="Arial"/>
        </w:rPr>
        <w:t>, 20</w:t>
      </w:r>
      <w:r w:rsidR="0004443E" w:rsidRPr="008F3946">
        <w:rPr>
          <w:rFonts w:ascii="Arial" w:hAnsi="Arial" w:cs="Arial"/>
        </w:rPr>
        <w:t>2</w:t>
      </w:r>
      <w:r w:rsidR="008F3946" w:rsidRPr="008F3946">
        <w:rPr>
          <w:rFonts w:ascii="Arial" w:hAnsi="Arial" w:cs="Arial"/>
        </w:rPr>
        <w:t>2</w:t>
      </w:r>
      <w:r w:rsidR="00FF4737" w:rsidRPr="008F3946">
        <w:rPr>
          <w:rFonts w:ascii="Arial" w:hAnsi="Arial" w:cs="Arial"/>
        </w:rPr>
        <w:t xml:space="preserve"> - </w:t>
      </w:r>
      <w:r w:rsidR="00AA40FA" w:rsidRPr="008F3946">
        <w:rPr>
          <w:rFonts w:ascii="Arial" w:hAnsi="Arial" w:cs="Arial"/>
        </w:rPr>
        <w:t>$</w:t>
      </w:r>
      <w:r w:rsidR="008F3946" w:rsidRPr="008F3946">
        <w:rPr>
          <w:rFonts w:ascii="Arial" w:hAnsi="Arial" w:cs="Arial"/>
        </w:rPr>
        <w:t>40,</w:t>
      </w:r>
      <w:r w:rsidR="00D8506A">
        <w:rPr>
          <w:rFonts w:ascii="Arial" w:hAnsi="Arial" w:cs="Arial"/>
        </w:rPr>
        <w:t>834,518</w:t>
      </w:r>
      <w:r w:rsidR="00FF4737" w:rsidRPr="008F3946">
        <w:rPr>
          <w:rFonts w:ascii="Arial" w:hAnsi="Arial" w:cs="Arial"/>
        </w:rPr>
        <w:t xml:space="preserve">) since the inception </w:t>
      </w:r>
      <w:r w:rsidR="00E86DC2" w:rsidRPr="008F3946">
        <w:rPr>
          <w:rFonts w:ascii="Arial" w:hAnsi="Arial" w:cs="Arial"/>
        </w:rPr>
        <w:t xml:space="preserve">of the Corporation.  As </w:t>
      </w:r>
      <w:proofErr w:type="gramStart"/>
      <w:r w:rsidR="00E86DC2" w:rsidRPr="008F3946">
        <w:rPr>
          <w:rFonts w:ascii="Arial" w:hAnsi="Arial" w:cs="Arial"/>
        </w:rPr>
        <w:t>at</w:t>
      </w:r>
      <w:proofErr w:type="gramEnd"/>
      <w:r w:rsidR="00E86DC2" w:rsidRPr="008F3946">
        <w:rPr>
          <w:rFonts w:ascii="Arial" w:hAnsi="Arial" w:cs="Arial"/>
        </w:rPr>
        <w:t xml:space="preserve"> </w:t>
      </w:r>
      <w:r w:rsidR="00A718DC" w:rsidRPr="008F3946">
        <w:rPr>
          <w:rFonts w:ascii="Arial" w:hAnsi="Arial" w:cs="Arial"/>
        </w:rPr>
        <w:t>Dec</w:t>
      </w:r>
      <w:r w:rsidR="004551DA" w:rsidRPr="008F3946">
        <w:rPr>
          <w:rFonts w:ascii="Arial" w:hAnsi="Arial" w:cs="Arial"/>
        </w:rPr>
        <w:t>ember</w:t>
      </w:r>
      <w:r w:rsidR="00FF4737" w:rsidRPr="008F3946">
        <w:rPr>
          <w:rFonts w:ascii="Arial" w:hAnsi="Arial" w:cs="Arial"/>
        </w:rPr>
        <w:t xml:space="preserve"> 3</w:t>
      </w:r>
      <w:r w:rsidR="00A718DC" w:rsidRPr="008F3946">
        <w:rPr>
          <w:rFonts w:ascii="Arial" w:hAnsi="Arial" w:cs="Arial"/>
        </w:rPr>
        <w:t>1</w:t>
      </w:r>
      <w:r w:rsidR="00FF4737" w:rsidRPr="008F3946">
        <w:rPr>
          <w:rFonts w:ascii="Arial" w:hAnsi="Arial" w:cs="Arial"/>
        </w:rPr>
        <w:t>, 20</w:t>
      </w:r>
      <w:r w:rsidR="002657F7" w:rsidRPr="008F3946">
        <w:rPr>
          <w:rFonts w:ascii="Arial" w:hAnsi="Arial" w:cs="Arial"/>
        </w:rPr>
        <w:t>2</w:t>
      </w:r>
      <w:r w:rsidR="008F3946" w:rsidRPr="008F3946">
        <w:rPr>
          <w:rFonts w:ascii="Arial" w:hAnsi="Arial" w:cs="Arial"/>
        </w:rPr>
        <w:t>3</w:t>
      </w:r>
      <w:r w:rsidR="00FF4737" w:rsidRPr="008F3946">
        <w:rPr>
          <w:rFonts w:ascii="Arial" w:hAnsi="Arial" w:cs="Arial"/>
        </w:rPr>
        <w:t>, the Corporation had working capital of $</w:t>
      </w:r>
      <w:r w:rsidR="008F3946" w:rsidRPr="008F3946">
        <w:rPr>
          <w:rFonts w:ascii="Arial" w:hAnsi="Arial" w:cs="Arial"/>
        </w:rPr>
        <w:t>7</w:t>
      </w:r>
      <w:r w:rsidR="009B489B">
        <w:rPr>
          <w:rFonts w:ascii="Arial" w:hAnsi="Arial" w:cs="Arial"/>
        </w:rPr>
        <w:t>0</w:t>
      </w:r>
      <w:r w:rsidR="00FD6936">
        <w:rPr>
          <w:rFonts w:ascii="Arial" w:hAnsi="Arial" w:cs="Arial"/>
        </w:rPr>
        <w:t>0,773</w:t>
      </w:r>
      <w:r w:rsidR="00DD34BF" w:rsidRPr="008F3946">
        <w:rPr>
          <w:rFonts w:ascii="Arial" w:hAnsi="Arial" w:cs="Arial"/>
        </w:rPr>
        <w:t xml:space="preserve"> </w:t>
      </w:r>
      <w:r w:rsidR="00FF4737" w:rsidRPr="008F3946">
        <w:rPr>
          <w:rFonts w:ascii="Arial" w:hAnsi="Arial" w:cs="Arial"/>
        </w:rPr>
        <w:t>(December 31, 20</w:t>
      </w:r>
      <w:r w:rsidR="0004443E" w:rsidRPr="008F3946">
        <w:rPr>
          <w:rFonts w:ascii="Arial" w:hAnsi="Arial" w:cs="Arial"/>
        </w:rPr>
        <w:t>2</w:t>
      </w:r>
      <w:r w:rsidR="008F3946" w:rsidRPr="008F3946">
        <w:rPr>
          <w:rFonts w:ascii="Arial" w:hAnsi="Arial" w:cs="Arial"/>
        </w:rPr>
        <w:t>2</w:t>
      </w:r>
      <w:r w:rsidR="00FF4737" w:rsidRPr="008F3946">
        <w:rPr>
          <w:rFonts w:ascii="Arial" w:hAnsi="Arial" w:cs="Arial"/>
        </w:rPr>
        <w:t xml:space="preserve"> – $</w:t>
      </w:r>
      <w:r w:rsidR="001A13EB" w:rsidRPr="008F3946">
        <w:rPr>
          <w:rFonts w:ascii="Arial" w:hAnsi="Arial" w:cs="Arial"/>
        </w:rPr>
        <w:t>3,</w:t>
      </w:r>
      <w:r w:rsidR="00D8506A">
        <w:rPr>
          <w:rFonts w:ascii="Arial" w:hAnsi="Arial" w:cs="Arial"/>
        </w:rPr>
        <w:t>09</w:t>
      </w:r>
      <w:r w:rsidR="008F3946" w:rsidRPr="008F3946">
        <w:rPr>
          <w:rFonts w:ascii="Arial" w:hAnsi="Arial" w:cs="Arial"/>
        </w:rPr>
        <w:t>3,88</w:t>
      </w:r>
      <w:r w:rsidR="001A13EB" w:rsidRPr="008F3946">
        <w:rPr>
          <w:rFonts w:ascii="Arial" w:hAnsi="Arial" w:cs="Arial"/>
        </w:rPr>
        <w:t>5</w:t>
      </w:r>
      <w:r w:rsidR="00FF4737" w:rsidRPr="008F3946">
        <w:rPr>
          <w:rFonts w:ascii="Arial" w:hAnsi="Arial" w:cs="Arial"/>
        </w:rPr>
        <w:t>)</w:t>
      </w:r>
      <w:r w:rsidR="004B0554" w:rsidRPr="008F3946">
        <w:rPr>
          <w:rFonts w:ascii="Arial" w:hAnsi="Arial" w:cs="Arial"/>
        </w:rPr>
        <w:t>.</w:t>
      </w:r>
      <w:r w:rsidR="00FF4737" w:rsidRPr="008F3946">
        <w:rPr>
          <w:rFonts w:ascii="Arial" w:hAnsi="Arial" w:cs="Arial"/>
        </w:rPr>
        <w:t xml:space="preserve"> </w:t>
      </w:r>
      <w:r w:rsidR="004B0554" w:rsidRPr="008F3946">
        <w:rPr>
          <w:rFonts w:ascii="Arial" w:hAnsi="Arial" w:cs="Arial"/>
        </w:rPr>
        <w:t>T</w:t>
      </w:r>
      <w:r w:rsidR="00FF4737" w:rsidRPr="008F3946">
        <w:rPr>
          <w:rFonts w:ascii="Arial" w:hAnsi="Arial" w:cs="Arial"/>
        </w:rPr>
        <w:t>he Corporation</w:t>
      </w:r>
      <w:r w:rsidR="0024365C" w:rsidRPr="008F3946">
        <w:rPr>
          <w:rFonts w:ascii="Arial" w:hAnsi="Arial" w:cs="Arial"/>
        </w:rPr>
        <w:t>’</w:t>
      </w:r>
      <w:r w:rsidR="00FF4737" w:rsidRPr="008F3946">
        <w:rPr>
          <w:rFonts w:ascii="Arial" w:hAnsi="Arial" w:cs="Arial"/>
        </w:rPr>
        <w:t xml:space="preserve">s ability to continue as a going concern is </w:t>
      </w:r>
      <w:r w:rsidR="004B0554" w:rsidRPr="008F3946">
        <w:rPr>
          <w:rFonts w:ascii="Arial" w:hAnsi="Arial" w:cs="Arial"/>
        </w:rPr>
        <w:t xml:space="preserve">largely </w:t>
      </w:r>
      <w:r w:rsidR="00FF4737" w:rsidRPr="008F3946">
        <w:rPr>
          <w:rFonts w:ascii="Arial" w:hAnsi="Arial" w:cs="Arial"/>
        </w:rPr>
        <w:t>dependent upon its ability to raise additional capital to continue the development of its mineral properties</w:t>
      </w:r>
      <w:r w:rsidR="00E03C01" w:rsidRPr="008F3946">
        <w:rPr>
          <w:rFonts w:ascii="Arial" w:hAnsi="Arial" w:cs="Arial"/>
        </w:rPr>
        <w:t xml:space="preserve">. </w:t>
      </w:r>
      <w:r w:rsidR="00A14E81" w:rsidRPr="008F3946">
        <w:rPr>
          <w:rFonts w:ascii="Arial" w:hAnsi="Arial" w:cs="Arial"/>
        </w:rPr>
        <w:t xml:space="preserve">Management attempts </w:t>
      </w:r>
      <w:r w:rsidR="004B0554" w:rsidRPr="008F3946">
        <w:rPr>
          <w:rFonts w:ascii="Arial" w:hAnsi="Arial" w:cs="Arial"/>
        </w:rPr>
        <w:t xml:space="preserve">to raise </w:t>
      </w:r>
      <w:r w:rsidR="00A14E81" w:rsidRPr="008F3946">
        <w:rPr>
          <w:rFonts w:ascii="Arial" w:hAnsi="Arial" w:cs="Arial"/>
        </w:rPr>
        <w:t xml:space="preserve">additional </w:t>
      </w:r>
      <w:r w:rsidR="002643FE" w:rsidRPr="008F3946">
        <w:rPr>
          <w:rFonts w:ascii="Arial" w:hAnsi="Arial" w:cs="Arial"/>
        </w:rPr>
        <w:t>capital</w:t>
      </w:r>
      <w:r w:rsidR="00A14E81" w:rsidRPr="008F3946">
        <w:rPr>
          <w:rFonts w:ascii="Arial" w:hAnsi="Arial" w:cs="Arial"/>
        </w:rPr>
        <w:t xml:space="preserve"> </w:t>
      </w:r>
      <w:r w:rsidR="004B0554" w:rsidRPr="008F3946">
        <w:rPr>
          <w:rFonts w:ascii="Arial" w:hAnsi="Arial" w:cs="Arial"/>
        </w:rPr>
        <w:t xml:space="preserve">whenever </w:t>
      </w:r>
      <w:r w:rsidR="00A14E81" w:rsidRPr="008F3946">
        <w:rPr>
          <w:rFonts w:ascii="Arial" w:hAnsi="Arial" w:cs="Arial"/>
        </w:rPr>
        <w:t xml:space="preserve">favorable market conditions </w:t>
      </w:r>
      <w:r w:rsidR="004B0554" w:rsidRPr="008F3946">
        <w:rPr>
          <w:rFonts w:ascii="Arial" w:hAnsi="Arial" w:cs="Arial"/>
        </w:rPr>
        <w:t>exist</w:t>
      </w:r>
      <w:r w:rsidR="00A14E81" w:rsidRPr="008F3946">
        <w:rPr>
          <w:rFonts w:ascii="Arial" w:hAnsi="Arial" w:cs="Arial"/>
        </w:rPr>
        <w:t>.</w:t>
      </w:r>
      <w:r w:rsidR="00521979" w:rsidRPr="00A153FB">
        <w:rPr>
          <w:rFonts w:ascii="Arial" w:hAnsi="Arial" w:cs="Arial"/>
        </w:rPr>
        <w:t xml:space="preserve"> </w:t>
      </w:r>
    </w:p>
    <w:p w14:paraId="73DB6B1B" w14:textId="77777777" w:rsidR="00521979" w:rsidRPr="00A153FB" w:rsidRDefault="00521979" w:rsidP="001F1E3D">
      <w:pPr>
        <w:pStyle w:val="BodyText"/>
        <w:ind w:left="851" w:right="776"/>
        <w:jc w:val="both"/>
        <w:rPr>
          <w:rFonts w:ascii="Arial" w:hAnsi="Arial" w:cs="Arial"/>
        </w:rPr>
      </w:pPr>
    </w:p>
    <w:p w14:paraId="32A6DCC7" w14:textId="268FDD25" w:rsidR="00035B0F" w:rsidRPr="00A153FB" w:rsidRDefault="00521979" w:rsidP="001F1E3D">
      <w:pPr>
        <w:pStyle w:val="BodyText"/>
        <w:ind w:left="851" w:right="776"/>
        <w:jc w:val="both"/>
        <w:rPr>
          <w:rFonts w:ascii="Arial" w:hAnsi="Arial" w:cs="Arial"/>
        </w:rPr>
      </w:pPr>
      <w:r w:rsidRPr="00A153FB">
        <w:rPr>
          <w:rFonts w:ascii="Arial" w:hAnsi="Arial" w:cs="Arial"/>
        </w:rPr>
        <w:t>Although the Corporation to date has been successful in raising sufficient funds with its strategic investors and the capital markets to advance its projects, the capital markets continue to be volatile and are largely out of the Corporation’s control, and therefore, there remains material uncertainties that cast significant doubt on the Corporation's ability to continue as a going concern. It is not possible to predict whether financing efforts will be successful or if the Corporation will attain profitable levels of operation. These financial statements do not include any adjustments to the carrying values of assets and liabilities and the reported expenses and statement of loss and comprehensive loss classification that would be necessary should the Corporation be unable to continue as a going concern. These adjustments could be material.</w:t>
      </w:r>
    </w:p>
    <w:p w14:paraId="7823A91B" w14:textId="77777777" w:rsidR="00940624" w:rsidRPr="00A153FB" w:rsidRDefault="00940624" w:rsidP="001F1E3D">
      <w:pPr>
        <w:pStyle w:val="BodyText"/>
        <w:ind w:left="851" w:right="776"/>
        <w:jc w:val="both"/>
        <w:rPr>
          <w:rFonts w:ascii="Arial" w:hAnsi="Arial" w:cs="Arial"/>
        </w:rPr>
      </w:pPr>
    </w:p>
    <w:p w14:paraId="46709296" w14:textId="3739C2CA" w:rsidR="00035B0F" w:rsidRPr="00A153FB" w:rsidRDefault="00033D76" w:rsidP="001F1E3D">
      <w:pPr>
        <w:pStyle w:val="Heading3"/>
        <w:numPr>
          <w:ilvl w:val="0"/>
          <w:numId w:val="6"/>
        </w:numPr>
        <w:tabs>
          <w:tab w:val="left" w:pos="1002"/>
        </w:tabs>
        <w:ind w:left="851" w:firstLine="0"/>
        <w:rPr>
          <w:rFonts w:ascii="Arial" w:hAnsi="Arial" w:cs="Arial"/>
          <w:sz w:val="16"/>
          <w:szCs w:val="16"/>
        </w:rPr>
      </w:pPr>
      <w:r>
        <w:rPr>
          <w:rFonts w:ascii="Arial" w:hAnsi="Arial" w:cs="Arial"/>
          <w:sz w:val="16"/>
          <w:szCs w:val="16"/>
        </w:rPr>
        <w:t xml:space="preserve">  </w:t>
      </w:r>
      <w:r w:rsidR="00AA20F7">
        <w:rPr>
          <w:rFonts w:ascii="Arial" w:hAnsi="Arial" w:cs="Arial"/>
          <w:sz w:val="16"/>
          <w:szCs w:val="16"/>
        </w:rPr>
        <w:t>MATERIAL</w:t>
      </w:r>
      <w:r w:rsidR="005E4909" w:rsidRPr="00A153FB">
        <w:rPr>
          <w:rFonts w:ascii="Arial" w:hAnsi="Arial" w:cs="Arial"/>
          <w:sz w:val="16"/>
          <w:szCs w:val="16"/>
        </w:rPr>
        <w:t xml:space="preserve"> ACCOUNTING</w:t>
      </w:r>
      <w:r w:rsidR="005E4909" w:rsidRPr="00A153FB">
        <w:rPr>
          <w:rFonts w:ascii="Arial" w:hAnsi="Arial" w:cs="Arial"/>
          <w:spacing w:val="-3"/>
          <w:sz w:val="16"/>
          <w:szCs w:val="16"/>
        </w:rPr>
        <w:t xml:space="preserve"> </w:t>
      </w:r>
      <w:r w:rsidR="005E4909" w:rsidRPr="00A153FB">
        <w:rPr>
          <w:rFonts w:ascii="Arial" w:hAnsi="Arial" w:cs="Arial"/>
          <w:sz w:val="16"/>
          <w:szCs w:val="16"/>
        </w:rPr>
        <w:t>POLICIES</w:t>
      </w:r>
    </w:p>
    <w:p w14:paraId="67B46B97" w14:textId="77777777" w:rsidR="00035B0F" w:rsidRPr="00A153FB" w:rsidRDefault="00035B0F" w:rsidP="001F1E3D">
      <w:pPr>
        <w:pStyle w:val="BodyText"/>
        <w:ind w:left="851"/>
        <w:rPr>
          <w:rFonts w:ascii="Arial" w:hAnsi="Arial" w:cs="Arial"/>
          <w:b/>
        </w:rPr>
      </w:pPr>
    </w:p>
    <w:p w14:paraId="0F907DAA" w14:textId="77777777" w:rsidR="00035B0F" w:rsidRPr="00A153FB" w:rsidRDefault="005E4909" w:rsidP="001F1E3D">
      <w:pPr>
        <w:pStyle w:val="Heading5"/>
        <w:ind w:left="851"/>
        <w:jc w:val="both"/>
        <w:rPr>
          <w:rFonts w:ascii="Arial" w:hAnsi="Arial" w:cs="Arial"/>
        </w:rPr>
      </w:pPr>
      <w:r w:rsidRPr="00A153FB">
        <w:rPr>
          <w:rFonts w:ascii="Arial" w:hAnsi="Arial" w:cs="Arial"/>
        </w:rPr>
        <w:t>Basis of Presentation</w:t>
      </w:r>
    </w:p>
    <w:p w14:paraId="35319543" w14:textId="77777777" w:rsidR="00035B0F" w:rsidRPr="00A153FB" w:rsidRDefault="00035B0F" w:rsidP="001F1E3D">
      <w:pPr>
        <w:pStyle w:val="BodyText"/>
        <w:spacing w:before="1"/>
        <w:ind w:left="851"/>
        <w:rPr>
          <w:rFonts w:ascii="Arial" w:hAnsi="Arial" w:cs="Arial"/>
          <w:b/>
        </w:rPr>
      </w:pPr>
    </w:p>
    <w:p w14:paraId="51FC1255" w14:textId="7BB671B1" w:rsidR="00940624" w:rsidRPr="00A153FB" w:rsidRDefault="00940624" w:rsidP="001F1E3D">
      <w:pPr>
        <w:pStyle w:val="BodyText"/>
        <w:ind w:left="851" w:right="779"/>
        <w:jc w:val="both"/>
        <w:rPr>
          <w:rFonts w:ascii="Arial" w:hAnsi="Arial" w:cs="Arial"/>
        </w:rPr>
      </w:pPr>
      <w:r w:rsidRPr="00A153FB">
        <w:rPr>
          <w:rFonts w:ascii="Arial" w:hAnsi="Arial" w:cs="Arial"/>
        </w:rPr>
        <w:t xml:space="preserve">These consolidated financial statements have been prepared in accordance </w:t>
      </w:r>
      <w:r w:rsidR="00223DB9" w:rsidRPr="00223DB9">
        <w:rPr>
          <w:rFonts w:ascii="Arial" w:hAnsi="Arial" w:cs="Arial"/>
        </w:rPr>
        <w:t>with International Financial Reporting Standards (“IFRS Accounting Standards”)</w:t>
      </w:r>
      <w:r w:rsidRPr="00A153FB">
        <w:rPr>
          <w:rFonts w:ascii="Arial" w:hAnsi="Arial" w:cs="Arial"/>
        </w:rPr>
        <w:t xml:space="preserve"> issued by the International Accounting Standards Board ("IASB") and interpretations of the IFRS Interpretations Committee ("IFRIC"). Certain comparative figures have been reclassified to conform with the financial statement presentation adopted in the current year.</w:t>
      </w:r>
    </w:p>
    <w:p w14:paraId="367E06CB" w14:textId="77777777" w:rsidR="00940624" w:rsidRPr="00A153FB" w:rsidRDefault="00940624" w:rsidP="001F1E3D">
      <w:pPr>
        <w:pStyle w:val="BodyText"/>
        <w:ind w:left="851" w:right="779"/>
        <w:jc w:val="both"/>
        <w:rPr>
          <w:rFonts w:ascii="Arial" w:hAnsi="Arial" w:cs="Arial"/>
        </w:rPr>
      </w:pPr>
    </w:p>
    <w:p w14:paraId="5EDE6D67" w14:textId="273450B9" w:rsidR="000A4896" w:rsidRPr="00A153FB" w:rsidRDefault="00940624" w:rsidP="001F1E3D">
      <w:pPr>
        <w:pStyle w:val="BodyText"/>
        <w:ind w:left="851" w:right="779"/>
        <w:jc w:val="both"/>
        <w:rPr>
          <w:rFonts w:ascii="Arial" w:hAnsi="Arial" w:cs="Arial"/>
        </w:rPr>
      </w:pPr>
      <w:r w:rsidRPr="00A153FB">
        <w:rPr>
          <w:rFonts w:ascii="Arial" w:hAnsi="Arial" w:cs="Arial"/>
        </w:rPr>
        <w:t xml:space="preserve">The consolidated financial statements of the Corporation for the period ended </w:t>
      </w:r>
      <w:r w:rsidR="00591646" w:rsidRPr="00A153FB">
        <w:rPr>
          <w:rFonts w:ascii="Arial" w:hAnsi="Arial" w:cs="Arial"/>
        </w:rPr>
        <w:t>December 31</w:t>
      </w:r>
      <w:r w:rsidRPr="00A153FB">
        <w:rPr>
          <w:rFonts w:ascii="Arial" w:hAnsi="Arial" w:cs="Arial"/>
        </w:rPr>
        <w:t xml:space="preserve">, </w:t>
      </w:r>
      <w:proofErr w:type="gramStart"/>
      <w:r w:rsidRPr="00A153FB">
        <w:rPr>
          <w:rFonts w:ascii="Arial" w:hAnsi="Arial" w:cs="Arial"/>
        </w:rPr>
        <w:t>202</w:t>
      </w:r>
      <w:r w:rsidR="00E27923" w:rsidRPr="00A153FB">
        <w:rPr>
          <w:rFonts w:ascii="Arial" w:hAnsi="Arial" w:cs="Arial"/>
        </w:rPr>
        <w:t>3</w:t>
      </w:r>
      <w:proofErr w:type="gramEnd"/>
      <w:r w:rsidRPr="00A153FB">
        <w:rPr>
          <w:rFonts w:ascii="Arial" w:hAnsi="Arial" w:cs="Arial"/>
        </w:rPr>
        <w:t xml:space="preserve"> were approved and authorized by the Board of Directors </w:t>
      </w:r>
      <w:r w:rsidRPr="001E0283">
        <w:rPr>
          <w:rFonts w:ascii="Arial" w:hAnsi="Arial" w:cs="Arial"/>
        </w:rPr>
        <w:t xml:space="preserve">on </w:t>
      </w:r>
      <w:r w:rsidR="006025CC" w:rsidRPr="001E0283">
        <w:rPr>
          <w:rFonts w:ascii="Arial" w:hAnsi="Arial" w:cs="Arial"/>
        </w:rPr>
        <w:t>April</w:t>
      </w:r>
      <w:r w:rsidRPr="001E0283">
        <w:rPr>
          <w:rFonts w:ascii="Arial" w:hAnsi="Arial" w:cs="Arial"/>
        </w:rPr>
        <w:t xml:space="preserve"> </w:t>
      </w:r>
      <w:r w:rsidR="00717407" w:rsidRPr="001E0283">
        <w:rPr>
          <w:rFonts w:ascii="Arial" w:hAnsi="Arial" w:cs="Arial"/>
        </w:rPr>
        <w:t>16</w:t>
      </w:r>
      <w:r w:rsidRPr="001E0283">
        <w:rPr>
          <w:rFonts w:ascii="Arial" w:hAnsi="Arial" w:cs="Arial"/>
        </w:rPr>
        <w:t>, 202</w:t>
      </w:r>
      <w:r w:rsidR="00FE5118" w:rsidRPr="001E0283">
        <w:rPr>
          <w:rFonts w:ascii="Arial" w:hAnsi="Arial" w:cs="Arial"/>
        </w:rPr>
        <w:t>4</w:t>
      </w:r>
    </w:p>
    <w:p w14:paraId="5CCB8849" w14:textId="77777777" w:rsidR="000A4896" w:rsidRPr="00A153FB" w:rsidRDefault="000A4896" w:rsidP="000A4896">
      <w:pPr>
        <w:rPr>
          <w:rFonts w:ascii="Arial" w:hAnsi="Arial" w:cs="Arial"/>
          <w:b/>
          <w:sz w:val="16"/>
          <w:szCs w:val="16"/>
        </w:rPr>
      </w:pPr>
    </w:p>
    <w:p w14:paraId="54B998AB" w14:textId="6F22ABF7" w:rsidR="000A4896" w:rsidRPr="00A153FB" w:rsidRDefault="000A4896" w:rsidP="000A4896">
      <w:pPr>
        <w:autoSpaceDE w:val="0"/>
        <w:autoSpaceDN w:val="0"/>
        <w:adjustRightInd w:val="0"/>
        <w:ind w:left="851"/>
        <w:jc w:val="both"/>
        <w:rPr>
          <w:rFonts w:ascii="Arial" w:hAnsi="Arial" w:cs="Arial"/>
          <w:sz w:val="16"/>
          <w:szCs w:val="16"/>
        </w:rPr>
      </w:pPr>
    </w:p>
    <w:p w14:paraId="7EEE9AB5" w14:textId="77777777" w:rsidR="00033D76" w:rsidRPr="00A153FB" w:rsidRDefault="00F7009E" w:rsidP="00033D76">
      <w:pPr>
        <w:pStyle w:val="Heading5"/>
        <w:ind w:left="851"/>
        <w:jc w:val="both"/>
        <w:rPr>
          <w:rFonts w:ascii="Arial" w:hAnsi="Arial" w:cs="Arial"/>
        </w:rPr>
      </w:pPr>
      <w:r w:rsidRPr="00A153FB">
        <w:rPr>
          <w:rFonts w:ascii="Arial" w:hAnsi="Arial" w:cs="Arial"/>
        </w:rPr>
        <w:t>Basis of consolidation</w:t>
      </w:r>
    </w:p>
    <w:p w14:paraId="4B1530F8" w14:textId="22B2133B" w:rsidR="00F7009E" w:rsidRPr="00A153FB" w:rsidRDefault="00F7009E" w:rsidP="00033D76">
      <w:pPr>
        <w:pStyle w:val="Heading5"/>
        <w:jc w:val="both"/>
        <w:rPr>
          <w:rFonts w:ascii="Arial" w:hAnsi="Arial" w:cs="Arial"/>
          <w:b w:val="0"/>
        </w:rPr>
      </w:pPr>
    </w:p>
    <w:p w14:paraId="0704816C" w14:textId="77777777" w:rsidR="00F7009E" w:rsidRPr="00A153FB" w:rsidRDefault="00F7009E" w:rsidP="001942E0">
      <w:pPr>
        <w:pStyle w:val="BodyText"/>
        <w:ind w:left="800" w:right="811"/>
        <w:rPr>
          <w:rFonts w:ascii="Arial" w:hAnsi="Arial" w:cs="Arial"/>
        </w:rPr>
      </w:pPr>
      <w:r w:rsidRPr="00A153FB">
        <w:rPr>
          <w:rFonts w:ascii="Arial" w:hAnsi="Arial" w:cs="Arial"/>
        </w:rPr>
        <w:t>The Corporation's consolidated financial statements consolidate those of its subsidiaries. The Corporation's subsidiaries are:</w:t>
      </w:r>
    </w:p>
    <w:p w14:paraId="52E5D237" w14:textId="77777777" w:rsidR="00F7009E" w:rsidRPr="00A153FB" w:rsidRDefault="00F7009E" w:rsidP="001942E0">
      <w:pPr>
        <w:pStyle w:val="BodyText"/>
        <w:spacing w:before="9"/>
        <w:rPr>
          <w:rFonts w:ascii="Arial" w:hAnsi="Arial" w:cs="Arial"/>
        </w:rPr>
      </w:pPr>
    </w:p>
    <w:tbl>
      <w:tblPr>
        <w:tblW w:w="0" w:type="auto"/>
        <w:tblInd w:w="9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14"/>
        <w:gridCol w:w="1512"/>
        <w:gridCol w:w="1483"/>
        <w:gridCol w:w="1905"/>
      </w:tblGrid>
      <w:tr w:rsidR="00F7009E" w:rsidRPr="00A153FB" w14:paraId="3336A664" w14:textId="77777777" w:rsidTr="0080555B">
        <w:trPr>
          <w:trHeight w:val="378"/>
        </w:trPr>
        <w:tc>
          <w:tcPr>
            <w:tcW w:w="2914" w:type="dxa"/>
          </w:tcPr>
          <w:p w14:paraId="55BE7AD8" w14:textId="77777777" w:rsidR="00F7009E" w:rsidRPr="00A153FB" w:rsidRDefault="00F7009E" w:rsidP="0080555B">
            <w:pPr>
              <w:pStyle w:val="TableParagraph"/>
              <w:spacing w:line="240" w:lineRule="auto"/>
              <w:jc w:val="left"/>
              <w:rPr>
                <w:rFonts w:ascii="Arial" w:hAnsi="Arial" w:cs="Arial"/>
                <w:sz w:val="16"/>
                <w:szCs w:val="16"/>
              </w:rPr>
            </w:pPr>
          </w:p>
        </w:tc>
        <w:tc>
          <w:tcPr>
            <w:tcW w:w="1512" w:type="dxa"/>
            <w:tcBorders>
              <w:bottom w:val="single" w:sz="4" w:space="0" w:color="000000"/>
            </w:tcBorders>
          </w:tcPr>
          <w:p w14:paraId="077B9BC5" w14:textId="77777777" w:rsidR="00F7009E" w:rsidRPr="00A153FB" w:rsidRDefault="00F7009E" w:rsidP="0080555B">
            <w:pPr>
              <w:pStyle w:val="TableParagraph"/>
              <w:spacing w:before="9" w:line="180" w:lineRule="atLeast"/>
              <w:ind w:left="385" w:right="171" w:hanging="128"/>
              <w:jc w:val="left"/>
              <w:rPr>
                <w:rFonts w:ascii="Arial" w:hAnsi="Arial" w:cs="Arial"/>
                <w:b/>
                <w:sz w:val="16"/>
                <w:szCs w:val="16"/>
              </w:rPr>
            </w:pPr>
            <w:r w:rsidRPr="00A153FB">
              <w:rPr>
                <w:rFonts w:ascii="Arial" w:hAnsi="Arial" w:cs="Arial"/>
                <w:b/>
                <w:sz w:val="16"/>
                <w:szCs w:val="16"/>
              </w:rPr>
              <w:t>Percentage of ownership</w:t>
            </w:r>
          </w:p>
        </w:tc>
        <w:tc>
          <w:tcPr>
            <w:tcW w:w="1483" w:type="dxa"/>
            <w:tcBorders>
              <w:bottom w:val="single" w:sz="4" w:space="0" w:color="000000"/>
            </w:tcBorders>
          </w:tcPr>
          <w:p w14:paraId="2C138C3D" w14:textId="77777777" w:rsidR="00F7009E" w:rsidRPr="00A153FB" w:rsidRDefault="00F7009E" w:rsidP="0080555B">
            <w:pPr>
              <w:pStyle w:val="TableParagraph"/>
              <w:spacing w:before="9" w:line="240" w:lineRule="auto"/>
              <w:ind w:left="272" w:right="202"/>
              <w:jc w:val="center"/>
              <w:rPr>
                <w:rFonts w:ascii="Arial" w:hAnsi="Arial" w:cs="Arial"/>
                <w:b/>
                <w:sz w:val="16"/>
                <w:szCs w:val="16"/>
              </w:rPr>
            </w:pPr>
            <w:r w:rsidRPr="00A153FB">
              <w:rPr>
                <w:rFonts w:ascii="Arial" w:hAnsi="Arial" w:cs="Arial"/>
                <w:b/>
                <w:sz w:val="16"/>
                <w:szCs w:val="16"/>
              </w:rPr>
              <w:t>Jurisdiction</w:t>
            </w:r>
          </w:p>
        </w:tc>
        <w:tc>
          <w:tcPr>
            <w:tcW w:w="1905" w:type="dxa"/>
          </w:tcPr>
          <w:p w14:paraId="04F7D86E" w14:textId="77777777" w:rsidR="00F7009E" w:rsidRPr="00A153FB" w:rsidRDefault="00F7009E" w:rsidP="0080555B">
            <w:pPr>
              <w:pStyle w:val="TableParagraph"/>
              <w:spacing w:before="9" w:line="240" w:lineRule="auto"/>
              <w:ind w:left="302"/>
              <w:jc w:val="left"/>
              <w:rPr>
                <w:rFonts w:ascii="Arial" w:hAnsi="Arial" w:cs="Arial"/>
                <w:b/>
                <w:sz w:val="16"/>
                <w:szCs w:val="16"/>
              </w:rPr>
            </w:pPr>
            <w:r w:rsidRPr="00A153FB">
              <w:rPr>
                <w:rFonts w:ascii="Arial" w:hAnsi="Arial" w:cs="Arial"/>
                <w:b/>
                <w:sz w:val="16"/>
                <w:szCs w:val="16"/>
              </w:rPr>
              <w:t>Principal activity</w:t>
            </w:r>
          </w:p>
        </w:tc>
      </w:tr>
      <w:tr w:rsidR="00F7009E" w:rsidRPr="00A153FB" w14:paraId="32794EBF" w14:textId="77777777" w:rsidTr="0080555B">
        <w:trPr>
          <w:trHeight w:val="189"/>
        </w:trPr>
        <w:tc>
          <w:tcPr>
            <w:tcW w:w="2914" w:type="dxa"/>
            <w:vAlign w:val="center"/>
          </w:tcPr>
          <w:p w14:paraId="529A072B" w14:textId="77777777" w:rsidR="00F7009E" w:rsidRPr="00A153FB" w:rsidRDefault="00F7009E" w:rsidP="0080555B">
            <w:pPr>
              <w:pStyle w:val="TableParagraph"/>
              <w:spacing w:before="4"/>
              <w:ind w:left="100"/>
              <w:jc w:val="left"/>
              <w:rPr>
                <w:rFonts w:ascii="Arial" w:hAnsi="Arial" w:cs="Arial"/>
                <w:sz w:val="16"/>
                <w:szCs w:val="16"/>
              </w:rPr>
            </w:pPr>
            <w:r w:rsidRPr="00A153FB">
              <w:rPr>
                <w:rFonts w:ascii="Arial" w:hAnsi="Arial" w:cs="Arial"/>
                <w:sz w:val="16"/>
                <w:szCs w:val="16"/>
              </w:rPr>
              <w:t>Wolfden Resources Canada Inc.</w:t>
            </w:r>
          </w:p>
        </w:tc>
        <w:tc>
          <w:tcPr>
            <w:tcW w:w="1512" w:type="dxa"/>
            <w:tcBorders>
              <w:top w:val="single" w:sz="4" w:space="0" w:color="000000"/>
              <w:bottom w:val="single" w:sz="4" w:space="0" w:color="000000"/>
            </w:tcBorders>
            <w:vAlign w:val="center"/>
          </w:tcPr>
          <w:p w14:paraId="7A11E957" w14:textId="77777777" w:rsidR="00F7009E" w:rsidRPr="00A153FB" w:rsidRDefault="00F7009E" w:rsidP="0080555B">
            <w:pPr>
              <w:pStyle w:val="TableParagraph"/>
              <w:spacing w:before="4"/>
              <w:ind w:left="564" w:right="493"/>
              <w:jc w:val="center"/>
              <w:rPr>
                <w:rFonts w:ascii="Arial" w:hAnsi="Arial" w:cs="Arial"/>
                <w:sz w:val="16"/>
                <w:szCs w:val="16"/>
              </w:rPr>
            </w:pPr>
            <w:r w:rsidRPr="00A153FB">
              <w:rPr>
                <w:rFonts w:ascii="Arial" w:hAnsi="Arial" w:cs="Arial"/>
                <w:sz w:val="16"/>
                <w:szCs w:val="16"/>
              </w:rPr>
              <w:t>100%</w:t>
            </w:r>
          </w:p>
        </w:tc>
        <w:tc>
          <w:tcPr>
            <w:tcW w:w="1483" w:type="dxa"/>
            <w:tcBorders>
              <w:top w:val="single" w:sz="4" w:space="0" w:color="000000"/>
              <w:bottom w:val="single" w:sz="4" w:space="0" w:color="000000"/>
            </w:tcBorders>
            <w:vAlign w:val="center"/>
          </w:tcPr>
          <w:p w14:paraId="1C319DF4" w14:textId="77777777" w:rsidR="00F7009E" w:rsidRPr="00A153FB" w:rsidRDefault="00F7009E" w:rsidP="0080555B">
            <w:pPr>
              <w:pStyle w:val="TableParagraph"/>
              <w:spacing w:before="4"/>
              <w:ind w:left="274" w:right="201"/>
              <w:jc w:val="center"/>
              <w:rPr>
                <w:rFonts w:ascii="Arial" w:hAnsi="Arial" w:cs="Arial"/>
                <w:sz w:val="16"/>
                <w:szCs w:val="16"/>
              </w:rPr>
            </w:pPr>
            <w:r w:rsidRPr="00A153FB">
              <w:rPr>
                <w:rFonts w:ascii="Arial" w:hAnsi="Arial" w:cs="Arial"/>
                <w:sz w:val="16"/>
                <w:szCs w:val="16"/>
              </w:rPr>
              <w:t>Canada</w:t>
            </w:r>
          </w:p>
        </w:tc>
        <w:tc>
          <w:tcPr>
            <w:tcW w:w="1905" w:type="dxa"/>
            <w:vAlign w:val="center"/>
          </w:tcPr>
          <w:p w14:paraId="36854A1F" w14:textId="77777777" w:rsidR="00F7009E" w:rsidRPr="00A153FB" w:rsidRDefault="00F7009E" w:rsidP="0080555B">
            <w:pPr>
              <w:pStyle w:val="TableParagraph"/>
              <w:spacing w:before="4"/>
              <w:ind w:left="263"/>
              <w:jc w:val="center"/>
              <w:rPr>
                <w:rFonts w:ascii="Arial" w:hAnsi="Arial" w:cs="Arial"/>
                <w:sz w:val="16"/>
                <w:szCs w:val="16"/>
              </w:rPr>
            </w:pPr>
            <w:r w:rsidRPr="00A153FB">
              <w:rPr>
                <w:rFonts w:ascii="Arial" w:hAnsi="Arial" w:cs="Arial"/>
                <w:sz w:val="16"/>
                <w:szCs w:val="16"/>
              </w:rPr>
              <w:t>Mineral exploration</w:t>
            </w:r>
          </w:p>
        </w:tc>
      </w:tr>
      <w:tr w:rsidR="00F7009E" w:rsidRPr="00A153FB" w14:paraId="0ADAC9DF" w14:textId="77777777" w:rsidTr="0080555B">
        <w:trPr>
          <w:trHeight w:val="189"/>
        </w:trPr>
        <w:tc>
          <w:tcPr>
            <w:tcW w:w="2914" w:type="dxa"/>
            <w:vAlign w:val="center"/>
          </w:tcPr>
          <w:p w14:paraId="72CEB3CD" w14:textId="77777777" w:rsidR="00F7009E" w:rsidRPr="00A153FB" w:rsidRDefault="00F7009E" w:rsidP="0080555B">
            <w:pPr>
              <w:pStyle w:val="TableParagraph"/>
              <w:spacing w:before="4"/>
              <w:ind w:left="100"/>
              <w:jc w:val="left"/>
              <w:rPr>
                <w:rFonts w:ascii="Arial" w:hAnsi="Arial" w:cs="Arial"/>
                <w:sz w:val="16"/>
                <w:szCs w:val="16"/>
              </w:rPr>
            </w:pPr>
            <w:r w:rsidRPr="00A153FB">
              <w:rPr>
                <w:rFonts w:ascii="Arial" w:hAnsi="Arial" w:cs="Arial"/>
                <w:sz w:val="16"/>
                <w:szCs w:val="16"/>
              </w:rPr>
              <w:t>Wolfden USA Inc.</w:t>
            </w:r>
          </w:p>
        </w:tc>
        <w:tc>
          <w:tcPr>
            <w:tcW w:w="1512" w:type="dxa"/>
            <w:tcBorders>
              <w:top w:val="single" w:sz="4" w:space="0" w:color="000000"/>
              <w:bottom w:val="single" w:sz="4" w:space="0" w:color="000000"/>
            </w:tcBorders>
            <w:vAlign w:val="center"/>
          </w:tcPr>
          <w:p w14:paraId="7ED4A512" w14:textId="77777777" w:rsidR="00F7009E" w:rsidRPr="00A153FB" w:rsidRDefault="00F7009E" w:rsidP="0080555B">
            <w:pPr>
              <w:pStyle w:val="TableParagraph"/>
              <w:spacing w:before="4"/>
              <w:ind w:left="564" w:right="493"/>
              <w:jc w:val="center"/>
              <w:rPr>
                <w:rFonts w:ascii="Arial" w:hAnsi="Arial" w:cs="Arial"/>
                <w:sz w:val="16"/>
                <w:szCs w:val="16"/>
              </w:rPr>
            </w:pPr>
            <w:r w:rsidRPr="00A153FB">
              <w:rPr>
                <w:rFonts w:ascii="Arial" w:hAnsi="Arial" w:cs="Arial"/>
                <w:sz w:val="16"/>
                <w:szCs w:val="16"/>
              </w:rPr>
              <w:t>100%</w:t>
            </w:r>
          </w:p>
        </w:tc>
        <w:tc>
          <w:tcPr>
            <w:tcW w:w="1483" w:type="dxa"/>
            <w:tcBorders>
              <w:top w:val="single" w:sz="4" w:space="0" w:color="000000"/>
              <w:bottom w:val="single" w:sz="4" w:space="0" w:color="000000"/>
            </w:tcBorders>
            <w:vAlign w:val="center"/>
          </w:tcPr>
          <w:p w14:paraId="3ECDAF6E" w14:textId="77777777" w:rsidR="00F7009E" w:rsidRPr="00A153FB" w:rsidRDefault="00F7009E" w:rsidP="0080555B">
            <w:pPr>
              <w:pStyle w:val="TableParagraph"/>
              <w:spacing w:before="4"/>
              <w:ind w:left="274" w:right="202"/>
              <w:jc w:val="center"/>
              <w:rPr>
                <w:rFonts w:ascii="Arial" w:hAnsi="Arial" w:cs="Arial"/>
                <w:sz w:val="16"/>
                <w:szCs w:val="16"/>
              </w:rPr>
            </w:pPr>
            <w:r w:rsidRPr="00A153FB">
              <w:rPr>
                <w:rFonts w:ascii="Arial" w:hAnsi="Arial" w:cs="Arial"/>
                <w:sz w:val="16"/>
                <w:szCs w:val="16"/>
              </w:rPr>
              <w:t>United States</w:t>
            </w:r>
          </w:p>
        </w:tc>
        <w:tc>
          <w:tcPr>
            <w:tcW w:w="1905" w:type="dxa"/>
            <w:vAlign w:val="center"/>
          </w:tcPr>
          <w:p w14:paraId="73CFED98" w14:textId="77777777" w:rsidR="00F7009E" w:rsidRPr="00A153FB" w:rsidRDefault="00F7009E" w:rsidP="0080555B">
            <w:pPr>
              <w:pStyle w:val="TableParagraph"/>
              <w:spacing w:before="4"/>
              <w:ind w:left="263"/>
              <w:jc w:val="center"/>
              <w:rPr>
                <w:rFonts w:ascii="Arial" w:hAnsi="Arial" w:cs="Arial"/>
                <w:sz w:val="16"/>
                <w:szCs w:val="16"/>
              </w:rPr>
            </w:pPr>
            <w:r w:rsidRPr="00A153FB">
              <w:rPr>
                <w:rFonts w:ascii="Arial" w:hAnsi="Arial" w:cs="Arial"/>
                <w:sz w:val="16"/>
                <w:szCs w:val="16"/>
              </w:rPr>
              <w:t>Mineral exploration</w:t>
            </w:r>
          </w:p>
        </w:tc>
      </w:tr>
      <w:tr w:rsidR="00F7009E" w:rsidRPr="00A153FB" w14:paraId="093A0CE4" w14:textId="77777777" w:rsidTr="0080555B">
        <w:trPr>
          <w:trHeight w:val="193"/>
        </w:trPr>
        <w:tc>
          <w:tcPr>
            <w:tcW w:w="2914" w:type="dxa"/>
            <w:vAlign w:val="center"/>
          </w:tcPr>
          <w:p w14:paraId="067F27FD" w14:textId="77777777" w:rsidR="00F7009E" w:rsidRPr="00A153FB" w:rsidRDefault="00F7009E" w:rsidP="0080555B">
            <w:pPr>
              <w:pStyle w:val="TableParagraph"/>
              <w:spacing w:before="4" w:line="170" w:lineRule="exact"/>
              <w:ind w:left="100"/>
              <w:jc w:val="left"/>
              <w:rPr>
                <w:rFonts w:ascii="Arial" w:hAnsi="Arial" w:cs="Arial"/>
                <w:sz w:val="16"/>
                <w:szCs w:val="16"/>
              </w:rPr>
            </w:pPr>
            <w:r w:rsidRPr="00A153FB">
              <w:rPr>
                <w:rFonts w:ascii="Arial" w:hAnsi="Arial" w:cs="Arial"/>
                <w:sz w:val="16"/>
                <w:szCs w:val="16"/>
              </w:rPr>
              <w:t>Wolfden Mt. Chase LLC</w:t>
            </w:r>
          </w:p>
        </w:tc>
        <w:tc>
          <w:tcPr>
            <w:tcW w:w="1512" w:type="dxa"/>
            <w:tcBorders>
              <w:top w:val="single" w:sz="4" w:space="0" w:color="000000"/>
              <w:bottom w:val="single" w:sz="4" w:space="0" w:color="000000"/>
            </w:tcBorders>
            <w:vAlign w:val="center"/>
          </w:tcPr>
          <w:p w14:paraId="572DBC52" w14:textId="77777777" w:rsidR="00F7009E" w:rsidRPr="00A153FB" w:rsidRDefault="00F7009E" w:rsidP="0080555B">
            <w:pPr>
              <w:pStyle w:val="TableParagraph"/>
              <w:spacing w:before="4" w:line="170" w:lineRule="exact"/>
              <w:ind w:left="564" w:right="493"/>
              <w:jc w:val="center"/>
              <w:rPr>
                <w:rFonts w:ascii="Arial" w:hAnsi="Arial" w:cs="Arial"/>
                <w:sz w:val="16"/>
                <w:szCs w:val="16"/>
              </w:rPr>
            </w:pPr>
            <w:r w:rsidRPr="00A153FB">
              <w:rPr>
                <w:rFonts w:ascii="Arial" w:hAnsi="Arial" w:cs="Arial"/>
                <w:sz w:val="16"/>
                <w:szCs w:val="16"/>
              </w:rPr>
              <w:t>100%</w:t>
            </w:r>
          </w:p>
        </w:tc>
        <w:tc>
          <w:tcPr>
            <w:tcW w:w="1483" w:type="dxa"/>
            <w:tcBorders>
              <w:top w:val="single" w:sz="4" w:space="0" w:color="000000"/>
              <w:bottom w:val="single" w:sz="4" w:space="0" w:color="000000"/>
            </w:tcBorders>
            <w:vAlign w:val="center"/>
          </w:tcPr>
          <w:p w14:paraId="109E8476" w14:textId="77777777" w:rsidR="00F7009E" w:rsidRPr="00A153FB" w:rsidRDefault="00F7009E" w:rsidP="0080555B">
            <w:pPr>
              <w:pStyle w:val="TableParagraph"/>
              <w:spacing w:before="4" w:line="170" w:lineRule="exact"/>
              <w:ind w:left="274" w:right="202"/>
              <w:jc w:val="center"/>
              <w:rPr>
                <w:rFonts w:ascii="Arial" w:hAnsi="Arial" w:cs="Arial"/>
                <w:sz w:val="16"/>
                <w:szCs w:val="16"/>
              </w:rPr>
            </w:pPr>
            <w:r w:rsidRPr="00A153FB">
              <w:rPr>
                <w:rFonts w:ascii="Arial" w:hAnsi="Arial" w:cs="Arial"/>
                <w:sz w:val="16"/>
                <w:szCs w:val="16"/>
              </w:rPr>
              <w:t>United States</w:t>
            </w:r>
          </w:p>
        </w:tc>
        <w:tc>
          <w:tcPr>
            <w:tcW w:w="1905" w:type="dxa"/>
            <w:vAlign w:val="center"/>
          </w:tcPr>
          <w:p w14:paraId="2C4C6136" w14:textId="77777777" w:rsidR="00F7009E" w:rsidRPr="00A153FB" w:rsidRDefault="00F7009E" w:rsidP="0080555B">
            <w:pPr>
              <w:pStyle w:val="TableParagraph"/>
              <w:spacing w:before="4" w:line="170" w:lineRule="exact"/>
              <w:ind w:left="263"/>
              <w:jc w:val="center"/>
              <w:rPr>
                <w:rFonts w:ascii="Arial" w:hAnsi="Arial" w:cs="Arial"/>
                <w:sz w:val="16"/>
                <w:szCs w:val="16"/>
              </w:rPr>
            </w:pPr>
            <w:r w:rsidRPr="00A153FB">
              <w:rPr>
                <w:rFonts w:ascii="Arial" w:hAnsi="Arial" w:cs="Arial"/>
                <w:sz w:val="16"/>
                <w:szCs w:val="16"/>
              </w:rPr>
              <w:t>Mineral exploration</w:t>
            </w:r>
          </w:p>
        </w:tc>
      </w:tr>
      <w:tr w:rsidR="00F7009E" w:rsidRPr="00A153FB" w14:paraId="37E7CD50" w14:textId="77777777" w:rsidTr="0080555B">
        <w:trPr>
          <w:trHeight w:val="193"/>
        </w:trPr>
        <w:tc>
          <w:tcPr>
            <w:tcW w:w="2914" w:type="dxa"/>
            <w:vAlign w:val="center"/>
          </w:tcPr>
          <w:p w14:paraId="130D4A1E" w14:textId="77777777" w:rsidR="00F7009E" w:rsidRPr="00A153FB" w:rsidRDefault="00F7009E" w:rsidP="0080555B">
            <w:pPr>
              <w:pStyle w:val="TableParagraph"/>
              <w:spacing w:before="4" w:line="170" w:lineRule="exact"/>
              <w:ind w:left="100"/>
              <w:jc w:val="left"/>
              <w:rPr>
                <w:rFonts w:ascii="Arial" w:hAnsi="Arial" w:cs="Arial"/>
                <w:sz w:val="16"/>
                <w:szCs w:val="16"/>
              </w:rPr>
            </w:pPr>
            <w:r w:rsidRPr="00A153FB">
              <w:rPr>
                <w:rFonts w:ascii="Arial" w:hAnsi="Arial" w:cs="Arial"/>
                <w:sz w:val="16"/>
                <w:szCs w:val="16"/>
              </w:rPr>
              <w:t>Wolfden Big Silver LLC</w:t>
            </w:r>
          </w:p>
        </w:tc>
        <w:tc>
          <w:tcPr>
            <w:tcW w:w="1512" w:type="dxa"/>
            <w:tcBorders>
              <w:top w:val="single" w:sz="4" w:space="0" w:color="000000"/>
            </w:tcBorders>
            <w:vAlign w:val="center"/>
          </w:tcPr>
          <w:p w14:paraId="7FE118B7" w14:textId="77777777" w:rsidR="00F7009E" w:rsidRPr="00A153FB" w:rsidRDefault="00F7009E" w:rsidP="0080555B">
            <w:pPr>
              <w:pStyle w:val="TableParagraph"/>
              <w:spacing w:before="4" w:line="170" w:lineRule="exact"/>
              <w:ind w:left="564" w:right="493"/>
              <w:jc w:val="center"/>
              <w:rPr>
                <w:rFonts w:ascii="Arial" w:hAnsi="Arial" w:cs="Arial"/>
                <w:sz w:val="16"/>
                <w:szCs w:val="16"/>
              </w:rPr>
            </w:pPr>
            <w:r w:rsidRPr="00A153FB">
              <w:rPr>
                <w:rFonts w:ascii="Arial" w:hAnsi="Arial" w:cs="Arial"/>
                <w:sz w:val="16"/>
                <w:szCs w:val="16"/>
              </w:rPr>
              <w:t>100%</w:t>
            </w:r>
          </w:p>
        </w:tc>
        <w:tc>
          <w:tcPr>
            <w:tcW w:w="1483" w:type="dxa"/>
            <w:tcBorders>
              <w:top w:val="single" w:sz="4" w:space="0" w:color="000000"/>
            </w:tcBorders>
            <w:vAlign w:val="center"/>
          </w:tcPr>
          <w:p w14:paraId="797E310B" w14:textId="77777777" w:rsidR="00F7009E" w:rsidRPr="00A153FB" w:rsidRDefault="00F7009E" w:rsidP="0080555B">
            <w:pPr>
              <w:pStyle w:val="TableParagraph"/>
              <w:spacing w:before="4" w:line="170" w:lineRule="exact"/>
              <w:ind w:left="274" w:right="202"/>
              <w:jc w:val="center"/>
              <w:rPr>
                <w:rFonts w:ascii="Arial" w:hAnsi="Arial" w:cs="Arial"/>
                <w:sz w:val="16"/>
                <w:szCs w:val="16"/>
              </w:rPr>
            </w:pPr>
            <w:r w:rsidRPr="00A153FB">
              <w:rPr>
                <w:rFonts w:ascii="Arial" w:hAnsi="Arial" w:cs="Arial"/>
                <w:sz w:val="16"/>
                <w:szCs w:val="16"/>
              </w:rPr>
              <w:t>United States</w:t>
            </w:r>
          </w:p>
        </w:tc>
        <w:tc>
          <w:tcPr>
            <w:tcW w:w="1905" w:type="dxa"/>
            <w:vAlign w:val="center"/>
          </w:tcPr>
          <w:p w14:paraId="792C69E7" w14:textId="77777777" w:rsidR="00F7009E" w:rsidRPr="00A153FB" w:rsidRDefault="00F7009E" w:rsidP="0080555B">
            <w:pPr>
              <w:pStyle w:val="TableParagraph"/>
              <w:spacing w:before="4" w:line="170" w:lineRule="exact"/>
              <w:ind w:left="263"/>
              <w:jc w:val="center"/>
              <w:rPr>
                <w:rFonts w:ascii="Arial" w:hAnsi="Arial" w:cs="Arial"/>
                <w:sz w:val="16"/>
                <w:szCs w:val="16"/>
              </w:rPr>
            </w:pPr>
            <w:r w:rsidRPr="00A153FB">
              <w:rPr>
                <w:rFonts w:ascii="Arial" w:hAnsi="Arial" w:cs="Arial"/>
                <w:sz w:val="16"/>
                <w:szCs w:val="16"/>
              </w:rPr>
              <w:t>Mineral exploration</w:t>
            </w:r>
          </w:p>
        </w:tc>
      </w:tr>
    </w:tbl>
    <w:p w14:paraId="52BC3C6B" w14:textId="77777777" w:rsidR="00F7009E" w:rsidRPr="00A153FB" w:rsidRDefault="00F7009E" w:rsidP="00F7009E">
      <w:pPr>
        <w:autoSpaceDE w:val="0"/>
        <w:autoSpaceDN w:val="0"/>
        <w:adjustRightInd w:val="0"/>
        <w:ind w:left="851"/>
        <w:jc w:val="both"/>
        <w:rPr>
          <w:rFonts w:ascii="Arial" w:hAnsi="Arial" w:cs="Arial"/>
          <w:sz w:val="16"/>
          <w:szCs w:val="16"/>
        </w:rPr>
      </w:pPr>
    </w:p>
    <w:p w14:paraId="1A66C438" w14:textId="77777777" w:rsidR="00F7009E" w:rsidRPr="00A153FB" w:rsidRDefault="00F7009E" w:rsidP="00F7009E">
      <w:pPr>
        <w:pStyle w:val="BodyText"/>
        <w:ind w:left="800" w:right="811"/>
        <w:rPr>
          <w:rFonts w:ascii="Arial" w:hAnsi="Arial" w:cs="Arial"/>
        </w:rPr>
      </w:pPr>
      <w:r w:rsidRPr="00A153FB">
        <w:rPr>
          <w:rFonts w:ascii="Arial" w:hAnsi="Arial" w:cs="Arial"/>
        </w:rPr>
        <w:t>All transactions and balances between the Corporation and its subsidiaries are eliminated on consolidation, including unrealized gains and losses on transactions between the companies.</w:t>
      </w:r>
    </w:p>
    <w:p w14:paraId="202C0663" w14:textId="77777777" w:rsidR="000A4896" w:rsidRPr="00A153FB" w:rsidRDefault="000A4896" w:rsidP="000A4896">
      <w:pPr>
        <w:autoSpaceDE w:val="0"/>
        <w:autoSpaceDN w:val="0"/>
        <w:adjustRightInd w:val="0"/>
        <w:ind w:left="851"/>
        <w:jc w:val="both"/>
        <w:rPr>
          <w:rFonts w:ascii="Arial" w:hAnsi="Arial" w:cs="Arial"/>
          <w:sz w:val="16"/>
          <w:szCs w:val="16"/>
        </w:rPr>
      </w:pPr>
    </w:p>
    <w:p w14:paraId="36EC8E59" w14:textId="37361007" w:rsidR="001F1E3D" w:rsidRDefault="001F1E3D">
      <w:pPr>
        <w:widowControl w:val="0"/>
        <w:autoSpaceDE w:val="0"/>
        <w:autoSpaceDN w:val="0"/>
        <w:rPr>
          <w:rFonts w:ascii="Arial" w:hAnsi="Arial" w:cs="Arial"/>
          <w:sz w:val="16"/>
          <w:szCs w:val="16"/>
        </w:rPr>
      </w:pPr>
      <w:r>
        <w:rPr>
          <w:rFonts w:ascii="Arial" w:hAnsi="Arial" w:cs="Arial"/>
          <w:sz w:val="16"/>
          <w:szCs w:val="16"/>
        </w:rPr>
        <w:br w:type="page"/>
      </w:r>
    </w:p>
    <w:p w14:paraId="18D3172A" w14:textId="77777777" w:rsidR="00A7016F" w:rsidRDefault="00A7016F" w:rsidP="00A7016F">
      <w:pPr>
        <w:autoSpaceDE w:val="0"/>
        <w:autoSpaceDN w:val="0"/>
        <w:adjustRightInd w:val="0"/>
        <w:ind w:left="851"/>
        <w:jc w:val="both"/>
        <w:rPr>
          <w:rFonts w:ascii="Arial" w:hAnsi="Arial" w:cs="Arial"/>
          <w:sz w:val="16"/>
          <w:szCs w:val="16"/>
        </w:rPr>
      </w:pPr>
    </w:p>
    <w:p w14:paraId="424E9977" w14:textId="77777777" w:rsidR="00A7016F" w:rsidRPr="00A153FB" w:rsidRDefault="00A7016F" w:rsidP="00A7016F">
      <w:pPr>
        <w:autoSpaceDE w:val="0"/>
        <w:autoSpaceDN w:val="0"/>
        <w:adjustRightInd w:val="0"/>
        <w:ind w:left="851"/>
        <w:jc w:val="both"/>
        <w:rPr>
          <w:rFonts w:ascii="Arial" w:hAnsi="Arial" w:cs="Arial"/>
          <w:sz w:val="16"/>
          <w:szCs w:val="16"/>
        </w:rPr>
      </w:pPr>
    </w:p>
    <w:p w14:paraId="1F969037" w14:textId="26B2D5E6" w:rsidR="00B90BDD" w:rsidRPr="00A153FB" w:rsidRDefault="00B90BDD" w:rsidP="00033D76">
      <w:pPr>
        <w:pStyle w:val="Heading5"/>
        <w:ind w:left="851"/>
        <w:jc w:val="both"/>
        <w:rPr>
          <w:rFonts w:ascii="Arial" w:hAnsi="Arial" w:cs="Arial"/>
        </w:rPr>
      </w:pPr>
      <w:r w:rsidRPr="00A153FB">
        <w:rPr>
          <w:rFonts w:ascii="Arial" w:hAnsi="Arial" w:cs="Arial"/>
        </w:rPr>
        <w:t>Foreign currency translation</w:t>
      </w:r>
    </w:p>
    <w:p w14:paraId="22C0AF57" w14:textId="77777777" w:rsidR="00383CDC" w:rsidRPr="00A153FB" w:rsidRDefault="00383CDC" w:rsidP="00383CDC">
      <w:pPr>
        <w:autoSpaceDE w:val="0"/>
        <w:autoSpaceDN w:val="0"/>
        <w:adjustRightInd w:val="0"/>
        <w:ind w:left="851" w:right="792"/>
        <w:rPr>
          <w:rFonts w:ascii="Arial" w:hAnsi="Arial" w:cs="Arial"/>
          <w:sz w:val="16"/>
          <w:szCs w:val="16"/>
        </w:rPr>
      </w:pPr>
    </w:p>
    <w:p w14:paraId="203590DB" w14:textId="67992CA3" w:rsidR="00622CAF" w:rsidRPr="00A153FB" w:rsidRDefault="00B90BDD" w:rsidP="00383CDC">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The consolidated financial statements are presented in Canadian dollars (CAD), which is also the functional</w:t>
      </w:r>
      <w:r w:rsidR="00383CDC" w:rsidRPr="00A153FB">
        <w:rPr>
          <w:rFonts w:ascii="Arial" w:hAnsi="Arial" w:cs="Arial"/>
          <w:sz w:val="16"/>
          <w:szCs w:val="16"/>
        </w:rPr>
        <w:t xml:space="preserve"> </w:t>
      </w:r>
      <w:r w:rsidRPr="00A153FB">
        <w:rPr>
          <w:rFonts w:ascii="Arial" w:hAnsi="Arial" w:cs="Arial"/>
          <w:sz w:val="16"/>
          <w:szCs w:val="16"/>
        </w:rPr>
        <w:t>currency of the Corporation, as well as its subsidiary Wolfden Resources Canada Inc. The functional currency</w:t>
      </w:r>
      <w:r w:rsidR="00383CDC" w:rsidRPr="00A153FB">
        <w:rPr>
          <w:rFonts w:ascii="Arial" w:hAnsi="Arial" w:cs="Arial"/>
          <w:sz w:val="16"/>
          <w:szCs w:val="16"/>
        </w:rPr>
        <w:t xml:space="preserve"> </w:t>
      </w:r>
      <w:r w:rsidRPr="00A153FB">
        <w:rPr>
          <w:rFonts w:ascii="Arial" w:hAnsi="Arial" w:cs="Arial"/>
          <w:sz w:val="16"/>
          <w:szCs w:val="16"/>
        </w:rPr>
        <w:t xml:space="preserve">of the Corporation's subsidiaries, Wolfden USA Inc, Wolfden Mt. Chase LLC, </w:t>
      </w:r>
      <w:r w:rsidR="004B0918" w:rsidRPr="00A153FB">
        <w:rPr>
          <w:rFonts w:ascii="Arial" w:hAnsi="Arial" w:cs="Arial"/>
          <w:sz w:val="16"/>
          <w:szCs w:val="16"/>
        </w:rPr>
        <w:t xml:space="preserve">and Wolfden Big Silver LLC </w:t>
      </w:r>
      <w:r w:rsidRPr="00A153FB">
        <w:rPr>
          <w:rFonts w:ascii="Arial" w:hAnsi="Arial" w:cs="Arial"/>
          <w:sz w:val="16"/>
          <w:szCs w:val="16"/>
        </w:rPr>
        <w:t>is U.S. dollars (USD).</w:t>
      </w:r>
      <w:r w:rsidR="00383CDC" w:rsidRPr="00A153FB">
        <w:rPr>
          <w:rFonts w:ascii="Arial" w:hAnsi="Arial" w:cs="Arial"/>
          <w:sz w:val="16"/>
          <w:szCs w:val="16"/>
        </w:rPr>
        <w:t xml:space="preserve"> </w:t>
      </w:r>
    </w:p>
    <w:p w14:paraId="036B5829" w14:textId="77777777" w:rsidR="00622CAF" w:rsidRPr="00A153FB" w:rsidRDefault="00622CAF" w:rsidP="00383CDC">
      <w:pPr>
        <w:autoSpaceDE w:val="0"/>
        <w:autoSpaceDN w:val="0"/>
        <w:adjustRightInd w:val="0"/>
        <w:ind w:left="851" w:right="792"/>
        <w:jc w:val="both"/>
        <w:rPr>
          <w:rFonts w:ascii="Arial" w:hAnsi="Arial" w:cs="Arial"/>
          <w:sz w:val="16"/>
          <w:szCs w:val="16"/>
        </w:rPr>
      </w:pPr>
    </w:p>
    <w:p w14:paraId="51B15BCC" w14:textId="77777777" w:rsidR="00622CAF" w:rsidRPr="00A153FB" w:rsidRDefault="00B90BDD" w:rsidP="00383CDC">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Foreign currency transactions are translated into the functional currency of the respective Corporation, using</w:t>
      </w:r>
      <w:r w:rsidR="00383CDC" w:rsidRPr="00A153FB">
        <w:rPr>
          <w:rFonts w:ascii="Arial" w:hAnsi="Arial" w:cs="Arial"/>
          <w:sz w:val="16"/>
          <w:szCs w:val="16"/>
        </w:rPr>
        <w:t xml:space="preserve"> </w:t>
      </w:r>
      <w:r w:rsidRPr="00A153FB">
        <w:rPr>
          <w:rFonts w:ascii="Arial" w:hAnsi="Arial" w:cs="Arial"/>
          <w:sz w:val="16"/>
          <w:szCs w:val="16"/>
        </w:rPr>
        <w:t>the exchange rates prevailing at the dates of the transactions (spot exchange rate). Foreign exchange gains</w:t>
      </w:r>
      <w:r w:rsidR="00383CDC" w:rsidRPr="00A153FB">
        <w:rPr>
          <w:rFonts w:ascii="Arial" w:hAnsi="Arial" w:cs="Arial"/>
          <w:sz w:val="16"/>
          <w:szCs w:val="16"/>
        </w:rPr>
        <w:t xml:space="preserve"> </w:t>
      </w:r>
      <w:r w:rsidRPr="00A153FB">
        <w:rPr>
          <w:rFonts w:ascii="Arial" w:hAnsi="Arial" w:cs="Arial"/>
          <w:sz w:val="16"/>
          <w:szCs w:val="16"/>
        </w:rPr>
        <w:t>and losses resulting from the settlement of such transactions and from the remeasurement of monetary items</w:t>
      </w:r>
      <w:r w:rsidR="00383CDC" w:rsidRPr="00A153FB">
        <w:rPr>
          <w:rFonts w:ascii="Arial" w:hAnsi="Arial" w:cs="Arial"/>
          <w:sz w:val="16"/>
          <w:szCs w:val="16"/>
        </w:rPr>
        <w:t xml:space="preserve"> </w:t>
      </w:r>
      <w:r w:rsidRPr="00A153FB">
        <w:rPr>
          <w:rFonts w:ascii="Arial" w:hAnsi="Arial" w:cs="Arial"/>
          <w:sz w:val="16"/>
          <w:szCs w:val="16"/>
        </w:rPr>
        <w:t>at year-end exchange rates are recognized in profit or loss.</w:t>
      </w:r>
      <w:r w:rsidR="00383CDC" w:rsidRPr="00A153FB">
        <w:rPr>
          <w:rFonts w:ascii="Arial" w:hAnsi="Arial" w:cs="Arial"/>
          <w:sz w:val="16"/>
          <w:szCs w:val="16"/>
        </w:rPr>
        <w:t xml:space="preserve"> </w:t>
      </w:r>
    </w:p>
    <w:p w14:paraId="68A9C705" w14:textId="77777777" w:rsidR="00622CAF" w:rsidRPr="00A153FB" w:rsidRDefault="00622CAF" w:rsidP="00383CDC">
      <w:pPr>
        <w:autoSpaceDE w:val="0"/>
        <w:autoSpaceDN w:val="0"/>
        <w:adjustRightInd w:val="0"/>
        <w:ind w:left="851" w:right="792"/>
        <w:jc w:val="both"/>
        <w:rPr>
          <w:rFonts w:ascii="Arial" w:hAnsi="Arial" w:cs="Arial"/>
          <w:sz w:val="16"/>
          <w:szCs w:val="16"/>
        </w:rPr>
      </w:pPr>
    </w:p>
    <w:p w14:paraId="4129CAB0" w14:textId="75C7C760" w:rsidR="00B90BDD" w:rsidRPr="00A153FB" w:rsidRDefault="00B90BDD" w:rsidP="00622CAF">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In the Corporation's consolidated financial statements, all assets, liabilities and transactions of the</w:t>
      </w:r>
      <w:r w:rsidR="00383CDC" w:rsidRPr="00A153FB">
        <w:rPr>
          <w:rFonts w:ascii="Arial" w:hAnsi="Arial" w:cs="Arial"/>
          <w:sz w:val="16"/>
          <w:szCs w:val="16"/>
        </w:rPr>
        <w:t xml:space="preserve"> </w:t>
      </w:r>
      <w:r w:rsidRPr="00A153FB">
        <w:rPr>
          <w:rFonts w:ascii="Arial" w:hAnsi="Arial" w:cs="Arial"/>
          <w:sz w:val="16"/>
          <w:szCs w:val="16"/>
        </w:rPr>
        <w:t>Corporations' subsidiary are translated into CAD upon consolidation. On consolidation, assets and liabilities</w:t>
      </w:r>
      <w:r w:rsidR="00383CDC" w:rsidRPr="00A153FB">
        <w:rPr>
          <w:rFonts w:ascii="Arial" w:hAnsi="Arial" w:cs="Arial"/>
          <w:sz w:val="16"/>
          <w:szCs w:val="16"/>
        </w:rPr>
        <w:t xml:space="preserve"> </w:t>
      </w:r>
      <w:r w:rsidRPr="00A153FB">
        <w:rPr>
          <w:rFonts w:ascii="Arial" w:hAnsi="Arial" w:cs="Arial"/>
          <w:sz w:val="16"/>
          <w:szCs w:val="16"/>
        </w:rPr>
        <w:t>have been translated into CAD at the closing rate at the reporting date. Income and expenses have been</w:t>
      </w:r>
      <w:r w:rsidR="00383CDC" w:rsidRPr="00A153FB">
        <w:rPr>
          <w:rFonts w:ascii="Arial" w:hAnsi="Arial" w:cs="Arial"/>
          <w:sz w:val="16"/>
          <w:szCs w:val="16"/>
        </w:rPr>
        <w:t xml:space="preserve"> </w:t>
      </w:r>
      <w:r w:rsidRPr="00A153FB">
        <w:rPr>
          <w:rFonts w:ascii="Arial" w:hAnsi="Arial" w:cs="Arial"/>
          <w:sz w:val="16"/>
          <w:szCs w:val="16"/>
        </w:rPr>
        <w:t>translated into the Corporation's presentation currency at the average rate over the reporting period. Exchange</w:t>
      </w:r>
      <w:r w:rsidR="00622CAF" w:rsidRPr="00A153FB">
        <w:rPr>
          <w:rFonts w:ascii="Arial" w:hAnsi="Arial" w:cs="Arial"/>
          <w:sz w:val="16"/>
          <w:szCs w:val="16"/>
        </w:rPr>
        <w:t xml:space="preserve"> </w:t>
      </w:r>
      <w:r w:rsidRPr="00A153FB">
        <w:rPr>
          <w:rFonts w:ascii="Arial" w:hAnsi="Arial" w:cs="Arial"/>
          <w:sz w:val="16"/>
          <w:szCs w:val="16"/>
        </w:rPr>
        <w:t>differences are charged/credited to other comprehensive income and recognized in the currency translation</w:t>
      </w:r>
      <w:r w:rsidR="00383CDC" w:rsidRPr="00A153FB">
        <w:rPr>
          <w:rFonts w:ascii="Arial" w:hAnsi="Arial" w:cs="Arial"/>
          <w:sz w:val="16"/>
          <w:szCs w:val="16"/>
        </w:rPr>
        <w:t xml:space="preserve"> </w:t>
      </w:r>
      <w:r w:rsidRPr="00A153FB">
        <w:rPr>
          <w:rFonts w:ascii="Arial" w:hAnsi="Arial" w:cs="Arial"/>
          <w:sz w:val="16"/>
          <w:szCs w:val="16"/>
        </w:rPr>
        <w:t>reserve in equity. On disposal of a foreign operation the cumulative translation differences recognized in equity</w:t>
      </w:r>
      <w:r w:rsidR="00383CDC" w:rsidRPr="00A153FB">
        <w:rPr>
          <w:rFonts w:ascii="Arial" w:hAnsi="Arial" w:cs="Arial"/>
          <w:sz w:val="16"/>
          <w:szCs w:val="16"/>
        </w:rPr>
        <w:t xml:space="preserve"> </w:t>
      </w:r>
      <w:r w:rsidRPr="00A153FB">
        <w:rPr>
          <w:rFonts w:ascii="Arial" w:hAnsi="Arial" w:cs="Arial"/>
          <w:sz w:val="16"/>
          <w:szCs w:val="16"/>
        </w:rPr>
        <w:t>are reclassified to profit or loss and recognized as part of the gain or loss on disposal.</w:t>
      </w:r>
    </w:p>
    <w:p w14:paraId="1652CBF1" w14:textId="77777777" w:rsidR="00033D76" w:rsidRPr="00A153FB" w:rsidRDefault="00033D76" w:rsidP="00033D76">
      <w:pPr>
        <w:autoSpaceDE w:val="0"/>
        <w:autoSpaceDN w:val="0"/>
        <w:adjustRightInd w:val="0"/>
        <w:ind w:left="851" w:right="792"/>
        <w:jc w:val="both"/>
        <w:rPr>
          <w:rFonts w:ascii="Arial" w:hAnsi="Arial" w:cs="Arial"/>
          <w:sz w:val="16"/>
          <w:szCs w:val="16"/>
        </w:rPr>
      </w:pPr>
    </w:p>
    <w:p w14:paraId="2962E230" w14:textId="77777777" w:rsidR="00B90BDD" w:rsidRPr="00A153FB" w:rsidRDefault="00B90BDD" w:rsidP="00033D76">
      <w:pPr>
        <w:pStyle w:val="Heading5"/>
        <w:ind w:left="851"/>
        <w:jc w:val="both"/>
        <w:rPr>
          <w:rFonts w:ascii="Arial" w:hAnsi="Arial" w:cs="Arial"/>
        </w:rPr>
      </w:pPr>
      <w:r w:rsidRPr="00A153FB">
        <w:rPr>
          <w:rFonts w:ascii="Arial" w:hAnsi="Arial" w:cs="Arial"/>
        </w:rPr>
        <w:t>Financial instruments</w:t>
      </w:r>
    </w:p>
    <w:p w14:paraId="2809AD87" w14:textId="77777777" w:rsidR="00033D76" w:rsidRPr="00A153FB" w:rsidRDefault="00033D76" w:rsidP="00033D76">
      <w:pPr>
        <w:autoSpaceDE w:val="0"/>
        <w:autoSpaceDN w:val="0"/>
        <w:adjustRightInd w:val="0"/>
        <w:ind w:left="851" w:right="792"/>
        <w:jc w:val="both"/>
        <w:rPr>
          <w:rFonts w:ascii="Arial" w:hAnsi="Arial" w:cs="Arial"/>
          <w:sz w:val="16"/>
          <w:szCs w:val="16"/>
        </w:rPr>
      </w:pPr>
    </w:p>
    <w:p w14:paraId="6068E989" w14:textId="13CF2429" w:rsidR="005C3835" w:rsidRPr="00A153FB" w:rsidRDefault="00B90BDD" w:rsidP="00033D76">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Financial instruments are measured on initial recognition at fair value, plus, in the case of financial instruments</w:t>
      </w:r>
      <w:r w:rsidR="00383CDC" w:rsidRPr="00A153FB">
        <w:rPr>
          <w:rFonts w:ascii="Arial" w:hAnsi="Arial" w:cs="Arial"/>
          <w:sz w:val="16"/>
          <w:szCs w:val="16"/>
        </w:rPr>
        <w:t xml:space="preserve"> </w:t>
      </w:r>
      <w:r w:rsidRPr="00A153FB">
        <w:rPr>
          <w:rFonts w:ascii="Arial" w:hAnsi="Arial" w:cs="Arial"/>
          <w:sz w:val="16"/>
          <w:szCs w:val="16"/>
        </w:rPr>
        <w:t>other than those classified as fair value through profit or loss ("FVTPL"), directly attributable transaction costs.</w:t>
      </w:r>
      <w:r w:rsidR="00383CDC" w:rsidRPr="00A153FB">
        <w:rPr>
          <w:rFonts w:ascii="Arial" w:hAnsi="Arial" w:cs="Arial"/>
          <w:sz w:val="16"/>
          <w:szCs w:val="16"/>
        </w:rPr>
        <w:t xml:space="preserve"> </w:t>
      </w:r>
      <w:r w:rsidRPr="00A153FB">
        <w:rPr>
          <w:rFonts w:ascii="Arial" w:hAnsi="Arial" w:cs="Arial"/>
          <w:sz w:val="16"/>
          <w:szCs w:val="16"/>
        </w:rPr>
        <w:t>Financial instruments are recognized when the Corporation become party to the contracts that gives rise to</w:t>
      </w:r>
      <w:r w:rsidR="00383CDC" w:rsidRPr="00A153FB">
        <w:rPr>
          <w:rFonts w:ascii="Arial" w:hAnsi="Arial" w:cs="Arial"/>
          <w:sz w:val="16"/>
          <w:szCs w:val="16"/>
        </w:rPr>
        <w:t xml:space="preserve"> </w:t>
      </w:r>
      <w:r w:rsidRPr="00A153FB">
        <w:rPr>
          <w:rFonts w:ascii="Arial" w:hAnsi="Arial" w:cs="Arial"/>
          <w:sz w:val="16"/>
          <w:szCs w:val="16"/>
        </w:rPr>
        <w:t>them and are classified as amortized cost, fair value through profit or loss or fair value through other</w:t>
      </w:r>
      <w:r w:rsidR="00383CDC" w:rsidRPr="00A153FB">
        <w:rPr>
          <w:rFonts w:ascii="Arial" w:hAnsi="Arial" w:cs="Arial"/>
          <w:sz w:val="16"/>
          <w:szCs w:val="16"/>
        </w:rPr>
        <w:t xml:space="preserve"> </w:t>
      </w:r>
      <w:r w:rsidRPr="00A153FB">
        <w:rPr>
          <w:rFonts w:ascii="Arial" w:hAnsi="Arial" w:cs="Arial"/>
          <w:sz w:val="16"/>
          <w:szCs w:val="16"/>
        </w:rPr>
        <w:t>comprehensive income, as appropriate. The Corporation considers whether a contract contains an embedded</w:t>
      </w:r>
      <w:r w:rsidR="00383CDC" w:rsidRPr="00A153FB">
        <w:rPr>
          <w:rFonts w:ascii="Arial" w:hAnsi="Arial" w:cs="Arial"/>
          <w:sz w:val="16"/>
          <w:szCs w:val="16"/>
        </w:rPr>
        <w:t xml:space="preserve"> </w:t>
      </w:r>
      <w:r w:rsidRPr="00A153FB">
        <w:rPr>
          <w:rFonts w:ascii="Arial" w:hAnsi="Arial" w:cs="Arial"/>
          <w:sz w:val="16"/>
          <w:szCs w:val="16"/>
        </w:rPr>
        <w:t>derivative when the entity first becomes a party to it. The embedded derivatives are separated from the host</w:t>
      </w:r>
      <w:r w:rsidR="00383CDC" w:rsidRPr="00A153FB">
        <w:rPr>
          <w:rFonts w:ascii="Arial" w:hAnsi="Arial" w:cs="Arial"/>
          <w:sz w:val="16"/>
          <w:szCs w:val="16"/>
        </w:rPr>
        <w:t xml:space="preserve"> </w:t>
      </w:r>
      <w:r w:rsidRPr="00A153FB">
        <w:rPr>
          <w:rFonts w:ascii="Arial" w:hAnsi="Arial" w:cs="Arial"/>
          <w:sz w:val="16"/>
          <w:szCs w:val="16"/>
        </w:rPr>
        <w:t>contract if the host contract is not measured at fair value through profit or loss and when the economic</w:t>
      </w:r>
      <w:r w:rsidR="00383CDC" w:rsidRPr="00A153FB">
        <w:rPr>
          <w:rFonts w:ascii="Arial" w:hAnsi="Arial" w:cs="Arial"/>
          <w:sz w:val="16"/>
          <w:szCs w:val="16"/>
        </w:rPr>
        <w:t xml:space="preserve"> </w:t>
      </w:r>
      <w:r w:rsidRPr="00A153FB">
        <w:rPr>
          <w:rFonts w:ascii="Arial" w:hAnsi="Arial" w:cs="Arial"/>
          <w:sz w:val="16"/>
          <w:szCs w:val="16"/>
        </w:rPr>
        <w:t xml:space="preserve">characteristics and risks are not closely </w:t>
      </w:r>
      <w:r w:rsidR="003B2CC3" w:rsidRPr="00A153FB">
        <w:rPr>
          <w:rFonts w:ascii="Arial" w:hAnsi="Arial" w:cs="Arial"/>
          <w:sz w:val="16"/>
          <w:szCs w:val="16"/>
        </w:rPr>
        <w:t>related to</w:t>
      </w:r>
      <w:r w:rsidR="004B0918" w:rsidRPr="00A153FB">
        <w:rPr>
          <w:rFonts w:ascii="Arial" w:hAnsi="Arial" w:cs="Arial"/>
          <w:sz w:val="16"/>
          <w:szCs w:val="16"/>
        </w:rPr>
        <w:t xml:space="preserve"> those of the host contract. Reassessment only occurs if there is a change in the terms of the contract that significantly modifies the cash flows that would otherwise be required.</w:t>
      </w:r>
    </w:p>
    <w:p w14:paraId="23140681" w14:textId="77777777" w:rsidR="005C3835" w:rsidRPr="00A153FB" w:rsidRDefault="005C3835" w:rsidP="005C3835">
      <w:pPr>
        <w:autoSpaceDE w:val="0"/>
        <w:autoSpaceDN w:val="0"/>
        <w:adjustRightInd w:val="0"/>
        <w:ind w:left="851" w:right="792"/>
        <w:jc w:val="both"/>
        <w:rPr>
          <w:rFonts w:ascii="Arial" w:hAnsi="Arial" w:cs="Arial"/>
          <w:sz w:val="16"/>
          <w:szCs w:val="16"/>
        </w:rPr>
      </w:pPr>
    </w:p>
    <w:p w14:paraId="049293BE" w14:textId="7EB02484" w:rsidR="00B90BDD" w:rsidRPr="00A153FB" w:rsidRDefault="00B90BDD" w:rsidP="00056FF2">
      <w:pPr>
        <w:autoSpaceDE w:val="0"/>
        <w:autoSpaceDN w:val="0"/>
        <w:adjustRightInd w:val="0"/>
        <w:ind w:left="851"/>
        <w:jc w:val="both"/>
        <w:rPr>
          <w:rFonts w:ascii="Arial" w:eastAsiaTheme="minorHAnsi" w:hAnsi="Arial" w:cs="Arial"/>
          <w:sz w:val="16"/>
          <w:szCs w:val="16"/>
          <w:u w:val="single"/>
        </w:rPr>
      </w:pPr>
      <w:r w:rsidRPr="00A153FB">
        <w:rPr>
          <w:rFonts w:ascii="Arial" w:eastAsiaTheme="minorHAnsi" w:hAnsi="Arial" w:cs="Arial"/>
          <w:sz w:val="16"/>
          <w:szCs w:val="16"/>
          <w:u w:val="single"/>
        </w:rPr>
        <w:t>Financial assets at FVTPL</w:t>
      </w:r>
    </w:p>
    <w:p w14:paraId="0E09C650" w14:textId="77777777" w:rsidR="00033D76" w:rsidRPr="00A153FB" w:rsidRDefault="00033D76" w:rsidP="00033D76">
      <w:pPr>
        <w:autoSpaceDE w:val="0"/>
        <w:autoSpaceDN w:val="0"/>
        <w:adjustRightInd w:val="0"/>
        <w:ind w:left="851" w:right="792"/>
        <w:jc w:val="both"/>
        <w:rPr>
          <w:rFonts w:ascii="Arial" w:hAnsi="Arial" w:cs="Arial"/>
          <w:sz w:val="16"/>
          <w:szCs w:val="16"/>
        </w:rPr>
      </w:pPr>
    </w:p>
    <w:p w14:paraId="53CFDB5D" w14:textId="5CC50F1A" w:rsidR="00B90BDD" w:rsidRPr="00A153FB" w:rsidRDefault="00B90BDD" w:rsidP="00A153FB">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Financial assets at FVTPL include financial assets held for trading and financial assets not designated upon</w:t>
      </w:r>
      <w:r w:rsidR="00056FF2" w:rsidRPr="00A153FB">
        <w:rPr>
          <w:rFonts w:ascii="Arial" w:hAnsi="Arial" w:cs="Arial"/>
          <w:sz w:val="16"/>
          <w:szCs w:val="16"/>
        </w:rPr>
        <w:t xml:space="preserve"> </w:t>
      </w:r>
      <w:r w:rsidRPr="00A153FB">
        <w:rPr>
          <w:rFonts w:ascii="Arial" w:hAnsi="Arial" w:cs="Arial"/>
          <w:sz w:val="16"/>
          <w:szCs w:val="16"/>
        </w:rPr>
        <w:t>initial recognition as amortized cost or fair value through other comprehensive income ("FVOCI"). A financial</w:t>
      </w:r>
      <w:r w:rsidR="00056FF2" w:rsidRPr="00A153FB">
        <w:rPr>
          <w:rFonts w:ascii="Arial" w:hAnsi="Arial" w:cs="Arial"/>
          <w:sz w:val="16"/>
          <w:szCs w:val="16"/>
        </w:rPr>
        <w:t xml:space="preserve"> </w:t>
      </w:r>
      <w:r w:rsidRPr="00A153FB">
        <w:rPr>
          <w:rFonts w:ascii="Arial" w:hAnsi="Arial" w:cs="Arial"/>
          <w:sz w:val="16"/>
          <w:szCs w:val="16"/>
        </w:rPr>
        <w:t>asset is classified in this category principally for the purpose of selling in the short term, or if so designated by</w:t>
      </w:r>
      <w:r w:rsidR="00056FF2" w:rsidRPr="00A153FB">
        <w:rPr>
          <w:rFonts w:ascii="Arial" w:hAnsi="Arial" w:cs="Arial"/>
          <w:sz w:val="16"/>
          <w:szCs w:val="16"/>
        </w:rPr>
        <w:t xml:space="preserve"> </w:t>
      </w:r>
      <w:r w:rsidRPr="00A153FB">
        <w:rPr>
          <w:rFonts w:ascii="Arial" w:hAnsi="Arial" w:cs="Arial"/>
          <w:sz w:val="16"/>
          <w:szCs w:val="16"/>
        </w:rPr>
        <w:t>management. Transaction costs are expensed as incurred. On initial recognition, a financial asset that</w:t>
      </w:r>
      <w:r w:rsidR="00056FF2" w:rsidRPr="00A153FB">
        <w:rPr>
          <w:rFonts w:ascii="Arial" w:hAnsi="Arial" w:cs="Arial"/>
          <w:sz w:val="16"/>
          <w:szCs w:val="16"/>
        </w:rPr>
        <w:t xml:space="preserve"> </w:t>
      </w:r>
      <w:r w:rsidRPr="00A153FB">
        <w:rPr>
          <w:rFonts w:ascii="Arial" w:hAnsi="Arial" w:cs="Arial"/>
          <w:sz w:val="16"/>
          <w:szCs w:val="16"/>
        </w:rPr>
        <w:t>otherwise meets the requirements to be measured at amortized cost or FVOCI may be irrevocably designated</w:t>
      </w:r>
      <w:r w:rsidR="00056FF2" w:rsidRPr="00A153FB">
        <w:rPr>
          <w:rFonts w:ascii="Arial" w:hAnsi="Arial" w:cs="Arial"/>
          <w:sz w:val="16"/>
          <w:szCs w:val="16"/>
        </w:rPr>
        <w:t xml:space="preserve"> </w:t>
      </w:r>
      <w:r w:rsidRPr="00A153FB">
        <w:rPr>
          <w:rFonts w:ascii="Arial" w:hAnsi="Arial" w:cs="Arial"/>
          <w:sz w:val="16"/>
          <w:szCs w:val="16"/>
        </w:rPr>
        <w:t xml:space="preserve">as FVTPL if doing </w:t>
      </w:r>
      <w:r w:rsidR="00351052" w:rsidRPr="00A153FB">
        <w:rPr>
          <w:rFonts w:ascii="Arial" w:hAnsi="Arial" w:cs="Arial"/>
          <w:sz w:val="16"/>
          <w:szCs w:val="16"/>
        </w:rPr>
        <w:t>so</w:t>
      </w:r>
      <w:r w:rsidR="00A153FB" w:rsidRPr="00A153FB">
        <w:rPr>
          <w:rFonts w:ascii="Arial" w:hAnsi="Arial" w:cs="Arial"/>
          <w:sz w:val="16"/>
          <w:szCs w:val="16"/>
        </w:rPr>
        <w:t xml:space="preserve"> </w:t>
      </w:r>
      <w:r w:rsidRPr="00A153FB">
        <w:rPr>
          <w:rFonts w:ascii="Arial" w:hAnsi="Arial" w:cs="Arial"/>
          <w:sz w:val="16"/>
          <w:szCs w:val="16"/>
        </w:rPr>
        <w:t>eliminates or significantly reduces an accounting mismatch that would otherwise arise.</w:t>
      </w:r>
      <w:r w:rsidR="00056FF2" w:rsidRPr="00A153FB">
        <w:rPr>
          <w:rFonts w:ascii="Arial" w:hAnsi="Arial" w:cs="Arial"/>
          <w:sz w:val="16"/>
          <w:szCs w:val="16"/>
        </w:rPr>
        <w:t xml:space="preserve"> </w:t>
      </w:r>
      <w:r w:rsidRPr="00A153FB">
        <w:rPr>
          <w:rFonts w:ascii="Arial" w:hAnsi="Arial" w:cs="Arial"/>
          <w:sz w:val="16"/>
          <w:szCs w:val="16"/>
        </w:rPr>
        <w:t>Financial assets measured at FVTPL are measured at fair value with changes in fair value recognized in the</w:t>
      </w:r>
      <w:r w:rsidR="00056FF2" w:rsidRPr="00A153FB">
        <w:rPr>
          <w:rFonts w:ascii="Arial" w:hAnsi="Arial" w:cs="Arial"/>
          <w:sz w:val="16"/>
          <w:szCs w:val="16"/>
        </w:rPr>
        <w:t xml:space="preserve"> </w:t>
      </w:r>
      <w:r w:rsidRPr="00A153FB">
        <w:rPr>
          <w:rFonts w:ascii="Arial" w:hAnsi="Arial" w:cs="Arial"/>
          <w:sz w:val="16"/>
          <w:szCs w:val="16"/>
        </w:rPr>
        <w:t xml:space="preserve">consolidated statements of </w:t>
      </w:r>
      <w:r w:rsidR="003B2CC3">
        <w:rPr>
          <w:rFonts w:ascii="Arial" w:hAnsi="Arial" w:cs="Arial"/>
          <w:sz w:val="16"/>
          <w:szCs w:val="16"/>
        </w:rPr>
        <w:t>loss and comprehensive loss.</w:t>
      </w:r>
    </w:p>
    <w:p w14:paraId="3599E640" w14:textId="77777777" w:rsidR="00D83424" w:rsidRPr="00A153FB" w:rsidRDefault="00D83424" w:rsidP="000A4896">
      <w:pPr>
        <w:autoSpaceDE w:val="0"/>
        <w:autoSpaceDN w:val="0"/>
        <w:adjustRightInd w:val="0"/>
        <w:ind w:left="851" w:right="792"/>
        <w:jc w:val="both"/>
        <w:rPr>
          <w:rFonts w:ascii="Arial" w:hAnsi="Arial" w:cs="Arial"/>
          <w:sz w:val="16"/>
          <w:szCs w:val="16"/>
        </w:rPr>
      </w:pPr>
    </w:p>
    <w:p w14:paraId="681F5BD8" w14:textId="4756B29E" w:rsidR="00B90BDD" w:rsidRPr="00A153FB" w:rsidRDefault="00B90BDD" w:rsidP="00056FF2">
      <w:pPr>
        <w:autoSpaceDE w:val="0"/>
        <w:autoSpaceDN w:val="0"/>
        <w:adjustRightInd w:val="0"/>
        <w:ind w:left="851"/>
        <w:jc w:val="both"/>
        <w:rPr>
          <w:rFonts w:ascii="Arial" w:eastAsiaTheme="minorHAnsi" w:hAnsi="Arial" w:cs="Arial"/>
          <w:sz w:val="16"/>
          <w:szCs w:val="16"/>
          <w:u w:val="single"/>
        </w:rPr>
      </w:pPr>
      <w:r w:rsidRPr="00A153FB">
        <w:rPr>
          <w:rFonts w:ascii="Arial" w:eastAsiaTheme="minorHAnsi" w:hAnsi="Arial" w:cs="Arial"/>
          <w:sz w:val="16"/>
          <w:szCs w:val="16"/>
          <w:u w:val="single"/>
        </w:rPr>
        <w:t>Financial assets at FVOCI</w:t>
      </w:r>
    </w:p>
    <w:p w14:paraId="14AEA661" w14:textId="77777777" w:rsidR="00BB67AD" w:rsidRPr="00A153FB" w:rsidRDefault="00BB67AD" w:rsidP="00056FF2">
      <w:pPr>
        <w:autoSpaceDE w:val="0"/>
        <w:autoSpaceDN w:val="0"/>
        <w:adjustRightInd w:val="0"/>
        <w:ind w:left="851" w:right="792"/>
        <w:jc w:val="both"/>
        <w:rPr>
          <w:rFonts w:ascii="Arial" w:hAnsi="Arial" w:cs="Arial"/>
          <w:sz w:val="16"/>
          <w:szCs w:val="16"/>
        </w:rPr>
      </w:pPr>
    </w:p>
    <w:p w14:paraId="0891DEB8" w14:textId="16F82AC6" w:rsidR="00B90BDD" w:rsidRPr="00A153FB" w:rsidRDefault="00B90BDD" w:rsidP="00056FF2">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On initial recognition of an equity investment that is not held for trading, an irrevocable election is available to</w:t>
      </w:r>
      <w:r w:rsidR="00056FF2" w:rsidRPr="00A153FB">
        <w:rPr>
          <w:rFonts w:ascii="Arial" w:hAnsi="Arial" w:cs="Arial"/>
          <w:sz w:val="16"/>
          <w:szCs w:val="16"/>
        </w:rPr>
        <w:t xml:space="preserve"> </w:t>
      </w:r>
      <w:r w:rsidRPr="00A153FB">
        <w:rPr>
          <w:rFonts w:ascii="Arial" w:hAnsi="Arial" w:cs="Arial"/>
          <w:sz w:val="16"/>
          <w:szCs w:val="16"/>
        </w:rPr>
        <w:t>measure the investment at fair value upon initial recognition plus directly attributable transaction costs and at</w:t>
      </w:r>
      <w:r w:rsidR="00056FF2" w:rsidRPr="00A153FB">
        <w:rPr>
          <w:rFonts w:ascii="Arial" w:hAnsi="Arial" w:cs="Arial"/>
          <w:sz w:val="16"/>
          <w:szCs w:val="16"/>
        </w:rPr>
        <w:t xml:space="preserve"> </w:t>
      </w:r>
      <w:r w:rsidRPr="00A153FB">
        <w:rPr>
          <w:rFonts w:ascii="Arial" w:hAnsi="Arial" w:cs="Arial"/>
          <w:sz w:val="16"/>
          <w:szCs w:val="16"/>
        </w:rPr>
        <w:t>each period end, changes in fair value are recognized in other comprehensive income ("OCI") with no</w:t>
      </w:r>
      <w:r w:rsidR="00056FF2" w:rsidRPr="00A153FB">
        <w:rPr>
          <w:rFonts w:ascii="Arial" w:hAnsi="Arial" w:cs="Arial"/>
          <w:sz w:val="16"/>
          <w:szCs w:val="16"/>
        </w:rPr>
        <w:t xml:space="preserve"> </w:t>
      </w:r>
      <w:r w:rsidRPr="00A153FB">
        <w:rPr>
          <w:rFonts w:ascii="Arial" w:hAnsi="Arial" w:cs="Arial"/>
          <w:sz w:val="16"/>
          <w:szCs w:val="16"/>
        </w:rPr>
        <w:t xml:space="preserve">reclassification to the consolidated statements of </w:t>
      </w:r>
      <w:r w:rsidR="003B2CC3">
        <w:rPr>
          <w:rFonts w:ascii="Arial" w:hAnsi="Arial" w:cs="Arial"/>
          <w:sz w:val="16"/>
          <w:szCs w:val="16"/>
        </w:rPr>
        <w:t>loss and comprehensive loss.</w:t>
      </w:r>
      <w:r w:rsidRPr="00A153FB">
        <w:rPr>
          <w:rFonts w:ascii="Arial" w:hAnsi="Arial" w:cs="Arial"/>
          <w:sz w:val="16"/>
          <w:szCs w:val="16"/>
        </w:rPr>
        <w:t xml:space="preserve"> The election is available on an investment-by</w:t>
      </w:r>
      <w:r w:rsidR="002701F6" w:rsidRPr="00A153FB">
        <w:rPr>
          <w:rFonts w:ascii="Arial" w:hAnsi="Arial" w:cs="Arial"/>
          <w:sz w:val="16"/>
          <w:szCs w:val="16"/>
        </w:rPr>
        <w:t>-</w:t>
      </w:r>
      <w:r w:rsidRPr="00A153FB">
        <w:rPr>
          <w:rFonts w:ascii="Arial" w:hAnsi="Arial" w:cs="Arial"/>
          <w:sz w:val="16"/>
          <w:szCs w:val="16"/>
        </w:rPr>
        <w:t>investment</w:t>
      </w:r>
      <w:r w:rsidR="00056FF2" w:rsidRPr="00A153FB">
        <w:rPr>
          <w:rFonts w:ascii="Arial" w:hAnsi="Arial" w:cs="Arial"/>
          <w:sz w:val="16"/>
          <w:szCs w:val="16"/>
        </w:rPr>
        <w:t xml:space="preserve"> </w:t>
      </w:r>
      <w:r w:rsidRPr="00A153FB">
        <w:rPr>
          <w:rFonts w:ascii="Arial" w:hAnsi="Arial" w:cs="Arial"/>
          <w:sz w:val="16"/>
          <w:szCs w:val="16"/>
        </w:rPr>
        <w:t>basis. Investments in equity securities, where the Corporation cannot exert significant influence, are</w:t>
      </w:r>
      <w:r w:rsidR="00056FF2" w:rsidRPr="00A153FB">
        <w:rPr>
          <w:rFonts w:ascii="Arial" w:hAnsi="Arial" w:cs="Arial"/>
          <w:sz w:val="16"/>
          <w:szCs w:val="16"/>
        </w:rPr>
        <w:t xml:space="preserve"> </w:t>
      </w:r>
      <w:r w:rsidRPr="00A153FB">
        <w:rPr>
          <w:rFonts w:ascii="Arial" w:hAnsi="Arial" w:cs="Arial"/>
          <w:sz w:val="16"/>
          <w:szCs w:val="16"/>
        </w:rPr>
        <w:t>designated as financial assets at FVOCI.</w:t>
      </w:r>
    </w:p>
    <w:p w14:paraId="58F24A88" w14:textId="77777777" w:rsidR="00033D76" w:rsidRPr="00A153FB" w:rsidRDefault="00033D76" w:rsidP="00033D76">
      <w:pPr>
        <w:autoSpaceDE w:val="0"/>
        <w:autoSpaceDN w:val="0"/>
        <w:adjustRightInd w:val="0"/>
        <w:ind w:left="851" w:right="792"/>
        <w:jc w:val="both"/>
        <w:rPr>
          <w:rFonts w:ascii="Arial" w:hAnsi="Arial" w:cs="Arial"/>
          <w:sz w:val="16"/>
          <w:szCs w:val="16"/>
        </w:rPr>
      </w:pPr>
    </w:p>
    <w:p w14:paraId="5F19FA1B" w14:textId="5D0B677F" w:rsidR="00B90BDD" w:rsidRPr="00A153FB" w:rsidRDefault="00B90BDD" w:rsidP="00033D76">
      <w:pPr>
        <w:autoSpaceDE w:val="0"/>
        <w:autoSpaceDN w:val="0"/>
        <w:adjustRightInd w:val="0"/>
        <w:ind w:left="851"/>
        <w:jc w:val="both"/>
        <w:rPr>
          <w:rFonts w:ascii="Arial" w:eastAsiaTheme="minorHAnsi" w:hAnsi="Arial" w:cs="Arial"/>
          <w:sz w:val="16"/>
          <w:szCs w:val="16"/>
          <w:u w:val="single"/>
        </w:rPr>
      </w:pPr>
      <w:r w:rsidRPr="00A153FB">
        <w:rPr>
          <w:rFonts w:ascii="Arial" w:eastAsiaTheme="minorHAnsi" w:hAnsi="Arial" w:cs="Arial"/>
          <w:sz w:val="16"/>
          <w:szCs w:val="16"/>
          <w:u w:val="single"/>
        </w:rPr>
        <w:t>Financial assets at amortized cost</w:t>
      </w:r>
    </w:p>
    <w:p w14:paraId="62222902" w14:textId="77777777" w:rsidR="00033D76" w:rsidRPr="00A153FB" w:rsidRDefault="00033D76" w:rsidP="00033D76">
      <w:pPr>
        <w:autoSpaceDE w:val="0"/>
        <w:autoSpaceDN w:val="0"/>
        <w:adjustRightInd w:val="0"/>
        <w:ind w:left="851" w:right="792"/>
        <w:jc w:val="both"/>
        <w:rPr>
          <w:rFonts w:ascii="Arial" w:hAnsi="Arial" w:cs="Arial"/>
          <w:sz w:val="16"/>
          <w:szCs w:val="16"/>
        </w:rPr>
      </w:pPr>
    </w:p>
    <w:p w14:paraId="595894D9" w14:textId="6D36CAC1" w:rsidR="00B90BDD" w:rsidRPr="00A153FB" w:rsidRDefault="00B90BDD" w:rsidP="00033D76">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A financial asset is measured at amortized cost if it is held within a business model whose objective is to hold</w:t>
      </w:r>
      <w:r w:rsidR="00056FF2" w:rsidRPr="00A153FB">
        <w:rPr>
          <w:rFonts w:ascii="Arial" w:hAnsi="Arial" w:cs="Arial"/>
          <w:sz w:val="16"/>
          <w:szCs w:val="16"/>
        </w:rPr>
        <w:t xml:space="preserve"> </w:t>
      </w:r>
      <w:r w:rsidRPr="00A153FB">
        <w:rPr>
          <w:rFonts w:ascii="Arial" w:hAnsi="Arial" w:cs="Arial"/>
          <w:sz w:val="16"/>
          <w:szCs w:val="16"/>
        </w:rPr>
        <w:t>assets to collect contractual cash flows and its contractual terms give rise on specified dates to cash flows that</w:t>
      </w:r>
      <w:r w:rsidR="00056FF2" w:rsidRPr="00A153FB">
        <w:rPr>
          <w:rFonts w:ascii="Arial" w:hAnsi="Arial" w:cs="Arial"/>
          <w:sz w:val="16"/>
          <w:szCs w:val="16"/>
        </w:rPr>
        <w:t xml:space="preserve"> </w:t>
      </w:r>
      <w:r w:rsidRPr="00A153FB">
        <w:rPr>
          <w:rFonts w:ascii="Arial" w:hAnsi="Arial" w:cs="Arial"/>
          <w:sz w:val="16"/>
          <w:szCs w:val="16"/>
        </w:rPr>
        <w:t xml:space="preserve">are solely payments of principal and interest on the principal amount </w:t>
      </w:r>
      <w:r w:rsidR="00AA20F7" w:rsidRPr="00A153FB">
        <w:rPr>
          <w:rFonts w:ascii="Arial" w:hAnsi="Arial" w:cs="Arial"/>
          <w:sz w:val="16"/>
          <w:szCs w:val="16"/>
        </w:rPr>
        <w:t>outstanding and</w:t>
      </w:r>
      <w:r w:rsidRPr="00A153FB">
        <w:rPr>
          <w:rFonts w:ascii="Arial" w:hAnsi="Arial" w:cs="Arial"/>
          <w:sz w:val="16"/>
          <w:szCs w:val="16"/>
        </w:rPr>
        <w:t xml:space="preserve"> is not designated as</w:t>
      </w:r>
      <w:r w:rsidR="00056FF2" w:rsidRPr="00A153FB">
        <w:rPr>
          <w:rFonts w:ascii="Arial" w:hAnsi="Arial" w:cs="Arial"/>
          <w:sz w:val="16"/>
          <w:szCs w:val="16"/>
        </w:rPr>
        <w:t xml:space="preserve"> </w:t>
      </w:r>
      <w:r w:rsidRPr="00A153FB">
        <w:rPr>
          <w:rFonts w:ascii="Arial" w:hAnsi="Arial" w:cs="Arial"/>
          <w:sz w:val="16"/>
          <w:szCs w:val="16"/>
        </w:rPr>
        <w:t>FVTPL. Financial assets classified as amortized cost are measured subsequent to initial recognition at</w:t>
      </w:r>
      <w:r w:rsidR="00056FF2" w:rsidRPr="00A153FB">
        <w:rPr>
          <w:rFonts w:ascii="Arial" w:hAnsi="Arial" w:cs="Arial"/>
          <w:sz w:val="16"/>
          <w:szCs w:val="16"/>
        </w:rPr>
        <w:t xml:space="preserve"> </w:t>
      </w:r>
      <w:r w:rsidRPr="00A153FB">
        <w:rPr>
          <w:rFonts w:ascii="Arial" w:hAnsi="Arial" w:cs="Arial"/>
          <w:sz w:val="16"/>
          <w:szCs w:val="16"/>
        </w:rPr>
        <w:t xml:space="preserve">amortized cost using the effective interest method. Cash and cash </w:t>
      </w:r>
      <w:r w:rsidR="0020250E" w:rsidRPr="00A153FB">
        <w:rPr>
          <w:rFonts w:ascii="Arial" w:hAnsi="Arial" w:cs="Arial"/>
          <w:sz w:val="16"/>
          <w:szCs w:val="16"/>
        </w:rPr>
        <w:t>equivalent</w:t>
      </w:r>
      <w:r w:rsidR="003B2CC3">
        <w:rPr>
          <w:rFonts w:ascii="Arial" w:hAnsi="Arial" w:cs="Arial"/>
          <w:sz w:val="16"/>
          <w:szCs w:val="16"/>
        </w:rPr>
        <w:t>s</w:t>
      </w:r>
      <w:r w:rsidRPr="00A153FB">
        <w:rPr>
          <w:rFonts w:ascii="Arial" w:hAnsi="Arial" w:cs="Arial"/>
          <w:sz w:val="16"/>
          <w:szCs w:val="16"/>
        </w:rPr>
        <w:t>, amounts receivable are classified as and measured at amortized cost.</w:t>
      </w:r>
    </w:p>
    <w:p w14:paraId="62B555BE" w14:textId="77777777" w:rsidR="00B90BDD" w:rsidRPr="00A153FB" w:rsidRDefault="00B90BDD" w:rsidP="00056FF2">
      <w:pPr>
        <w:autoSpaceDE w:val="0"/>
        <w:autoSpaceDN w:val="0"/>
        <w:adjustRightInd w:val="0"/>
        <w:ind w:left="851" w:right="792"/>
        <w:jc w:val="both"/>
        <w:rPr>
          <w:rFonts w:ascii="Arial" w:hAnsi="Arial" w:cs="Arial"/>
          <w:sz w:val="16"/>
          <w:szCs w:val="16"/>
        </w:rPr>
      </w:pPr>
    </w:p>
    <w:p w14:paraId="29367AE5" w14:textId="77777777" w:rsidR="001F1E3D" w:rsidRPr="005C0E14" w:rsidRDefault="001F1E3D">
      <w:pPr>
        <w:widowControl w:val="0"/>
        <w:autoSpaceDE w:val="0"/>
        <w:autoSpaceDN w:val="0"/>
        <w:rPr>
          <w:rFonts w:ascii="Arial" w:eastAsiaTheme="minorHAnsi" w:hAnsi="Arial" w:cs="Arial"/>
          <w:sz w:val="16"/>
          <w:szCs w:val="16"/>
        </w:rPr>
      </w:pPr>
      <w:r w:rsidRPr="005C0E14">
        <w:rPr>
          <w:rFonts w:ascii="Arial" w:eastAsiaTheme="minorHAnsi" w:hAnsi="Arial" w:cs="Arial"/>
          <w:sz w:val="16"/>
          <w:szCs w:val="16"/>
        </w:rPr>
        <w:br w:type="page"/>
      </w:r>
    </w:p>
    <w:p w14:paraId="15A6B597" w14:textId="77777777" w:rsidR="001F1E3D" w:rsidRDefault="001F1E3D" w:rsidP="00056FF2">
      <w:pPr>
        <w:autoSpaceDE w:val="0"/>
        <w:autoSpaceDN w:val="0"/>
        <w:adjustRightInd w:val="0"/>
        <w:ind w:left="851"/>
        <w:jc w:val="both"/>
        <w:rPr>
          <w:rFonts w:ascii="Arial" w:eastAsiaTheme="minorHAnsi" w:hAnsi="Arial" w:cs="Arial"/>
          <w:sz w:val="16"/>
          <w:szCs w:val="16"/>
          <w:u w:val="single"/>
        </w:rPr>
      </w:pPr>
    </w:p>
    <w:p w14:paraId="39D76375" w14:textId="77777777" w:rsidR="001F1E3D" w:rsidRDefault="001F1E3D" w:rsidP="00056FF2">
      <w:pPr>
        <w:autoSpaceDE w:val="0"/>
        <w:autoSpaceDN w:val="0"/>
        <w:adjustRightInd w:val="0"/>
        <w:ind w:left="851"/>
        <w:jc w:val="both"/>
        <w:rPr>
          <w:rFonts w:ascii="Arial" w:eastAsiaTheme="minorHAnsi" w:hAnsi="Arial" w:cs="Arial"/>
          <w:sz w:val="16"/>
          <w:szCs w:val="16"/>
          <w:u w:val="single"/>
        </w:rPr>
      </w:pPr>
    </w:p>
    <w:p w14:paraId="36532A2A" w14:textId="10AC376F" w:rsidR="00B90BDD" w:rsidRPr="00A153FB" w:rsidRDefault="00B90BDD" w:rsidP="00056FF2">
      <w:pPr>
        <w:autoSpaceDE w:val="0"/>
        <w:autoSpaceDN w:val="0"/>
        <w:adjustRightInd w:val="0"/>
        <w:ind w:left="851"/>
        <w:jc w:val="both"/>
        <w:rPr>
          <w:rFonts w:ascii="Arial" w:eastAsiaTheme="minorHAnsi" w:hAnsi="Arial" w:cs="Arial"/>
          <w:sz w:val="16"/>
          <w:szCs w:val="16"/>
          <w:u w:val="single"/>
        </w:rPr>
      </w:pPr>
      <w:r w:rsidRPr="00A153FB">
        <w:rPr>
          <w:rFonts w:ascii="Arial" w:eastAsiaTheme="minorHAnsi" w:hAnsi="Arial" w:cs="Arial"/>
          <w:sz w:val="16"/>
          <w:szCs w:val="16"/>
          <w:u w:val="single"/>
        </w:rPr>
        <w:t>Financial liabilities</w:t>
      </w:r>
    </w:p>
    <w:p w14:paraId="2DD984F4" w14:textId="77777777" w:rsidR="00B90BDD" w:rsidRPr="00A153FB" w:rsidRDefault="00B90BDD" w:rsidP="00056FF2">
      <w:pPr>
        <w:autoSpaceDE w:val="0"/>
        <w:autoSpaceDN w:val="0"/>
        <w:adjustRightInd w:val="0"/>
        <w:ind w:left="851"/>
        <w:jc w:val="both"/>
        <w:rPr>
          <w:rFonts w:ascii="Arial" w:eastAsiaTheme="minorHAnsi" w:hAnsi="Arial" w:cs="Arial"/>
          <w:sz w:val="16"/>
          <w:szCs w:val="16"/>
          <w:u w:val="single"/>
        </w:rPr>
      </w:pPr>
    </w:p>
    <w:p w14:paraId="14ACF013" w14:textId="4462FDE6" w:rsidR="00B90BDD" w:rsidRPr="00A153FB" w:rsidRDefault="00B90BDD" w:rsidP="00056FF2">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Financial liabilities are classified as measured at amortized cost or FVTPL. A financial liability is classified as</w:t>
      </w:r>
      <w:r w:rsidR="00056FF2" w:rsidRPr="00A153FB">
        <w:rPr>
          <w:rFonts w:ascii="Arial" w:hAnsi="Arial" w:cs="Arial"/>
          <w:sz w:val="16"/>
          <w:szCs w:val="16"/>
        </w:rPr>
        <w:t xml:space="preserve"> </w:t>
      </w:r>
      <w:r w:rsidRPr="00A153FB">
        <w:rPr>
          <w:rFonts w:ascii="Arial" w:hAnsi="Arial" w:cs="Arial"/>
          <w:sz w:val="16"/>
          <w:szCs w:val="16"/>
        </w:rPr>
        <w:t>FVTPL if it is classified as held-for-trading, it is a derivative or it is designated as such on initial recognition.</w:t>
      </w:r>
      <w:r w:rsidR="00056FF2" w:rsidRPr="00A153FB">
        <w:rPr>
          <w:rFonts w:ascii="Arial" w:hAnsi="Arial" w:cs="Arial"/>
          <w:sz w:val="16"/>
          <w:szCs w:val="16"/>
        </w:rPr>
        <w:t xml:space="preserve"> </w:t>
      </w:r>
      <w:r w:rsidRPr="00A153FB">
        <w:rPr>
          <w:rFonts w:ascii="Arial" w:hAnsi="Arial" w:cs="Arial"/>
          <w:sz w:val="16"/>
          <w:szCs w:val="16"/>
        </w:rPr>
        <w:t>Financial liabilities at FVTPL are measured at fair value and net gains and losses, including any interest</w:t>
      </w:r>
      <w:r w:rsidR="00056FF2" w:rsidRPr="00A153FB">
        <w:rPr>
          <w:rFonts w:ascii="Arial" w:hAnsi="Arial" w:cs="Arial"/>
          <w:sz w:val="16"/>
          <w:szCs w:val="16"/>
        </w:rPr>
        <w:t xml:space="preserve"> </w:t>
      </w:r>
      <w:r w:rsidRPr="00A153FB">
        <w:rPr>
          <w:rFonts w:ascii="Arial" w:hAnsi="Arial" w:cs="Arial"/>
          <w:sz w:val="16"/>
          <w:szCs w:val="16"/>
        </w:rPr>
        <w:t>expense, are recognized in profit or loss. Other financial liabilities are subsequently measured at amortized</w:t>
      </w:r>
      <w:r w:rsidR="00056FF2" w:rsidRPr="00A153FB">
        <w:rPr>
          <w:rFonts w:ascii="Arial" w:hAnsi="Arial" w:cs="Arial"/>
          <w:sz w:val="16"/>
          <w:szCs w:val="16"/>
        </w:rPr>
        <w:t xml:space="preserve"> </w:t>
      </w:r>
      <w:r w:rsidRPr="00A153FB">
        <w:rPr>
          <w:rFonts w:ascii="Arial" w:hAnsi="Arial" w:cs="Arial"/>
          <w:sz w:val="16"/>
          <w:szCs w:val="16"/>
        </w:rPr>
        <w:t>cost using the effective interest method. Gains and losses are recognized in net earnings when the liabilities</w:t>
      </w:r>
      <w:r w:rsidR="00056FF2" w:rsidRPr="00A153FB">
        <w:rPr>
          <w:rFonts w:ascii="Arial" w:hAnsi="Arial" w:cs="Arial"/>
          <w:sz w:val="16"/>
          <w:szCs w:val="16"/>
        </w:rPr>
        <w:t xml:space="preserve"> </w:t>
      </w:r>
      <w:r w:rsidRPr="00A153FB">
        <w:rPr>
          <w:rFonts w:ascii="Arial" w:hAnsi="Arial" w:cs="Arial"/>
          <w:sz w:val="16"/>
          <w:szCs w:val="16"/>
        </w:rPr>
        <w:t>are derecognized as well as through the amortization process. Borrowing liabilities are classified as current</w:t>
      </w:r>
      <w:r w:rsidR="00056FF2" w:rsidRPr="00A153FB">
        <w:rPr>
          <w:rFonts w:ascii="Arial" w:hAnsi="Arial" w:cs="Arial"/>
          <w:sz w:val="16"/>
          <w:szCs w:val="16"/>
        </w:rPr>
        <w:t xml:space="preserve"> </w:t>
      </w:r>
      <w:r w:rsidRPr="00A153FB">
        <w:rPr>
          <w:rFonts w:ascii="Arial" w:hAnsi="Arial" w:cs="Arial"/>
          <w:sz w:val="16"/>
          <w:szCs w:val="16"/>
        </w:rPr>
        <w:t>liabilities unless the Corporation has an unconditional right to defer settlement of the liability for at least 12</w:t>
      </w:r>
      <w:r w:rsidR="00056FF2" w:rsidRPr="00A153FB">
        <w:rPr>
          <w:rFonts w:ascii="Arial" w:hAnsi="Arial" w:cs="Arial"/>
          <w:sz w:val="16"/>
          <w:szCs w:val="16"/>
        </w:rPr>
        <w:t xml:space="preserve"> </w:t>
      </w:r>
      <w:r w:rsidRPr="00A153FB">
        <w:rPr>
          <w:rFonts w:ascii="Arial" w:hAnsi="Arial" w:cs="Arial"/>
          <w:sz w:val="16"/>
          <w:szCs w:val="16"/>
        </w:rPr>
        <w:t>months after the statement of financial position date. Accounts payable and accrued liabilities are classified as</w:t>
      </w:r>
      <w:r w:rsidR="00056FF2" w:rsidRPr="00A153FB">
        <w:rPr>
          <w:rFonts w:ascii="Arial" w:hAnsi="Arial" w:cs="Arial"/>
          <w:sz w:val="16"/>
          <w:szCs w:val="16"/>
        </w:rPr>
        <w:t xml:space="preserve"> </w:t>
      </w:r>
      <w:r w:rsidRPr="00A153FB">
        <w:rPr>
          <w:rFonts w:ascii="Arial" w:hAnsi="Arial" w:cs="Arial"/>
          <w:sz w:val="16"/>
          <w:szCs w:val="16"/>
        </w:rPr>
        <w:t>and measured at amortized cost.</w:t>
      </w:r>
    </w:p>
    <w:p w14:paraId="5DF11A8F" w14:textId="0594D020" w:rsidR="00B90BDD" w:rsidRPr="00A153FB" w:rsidRDefault="00B90BDD" w:rsidP="00056FF2">
      <w:pPr>
        <w:autoSpaceDE w:val="0"/>
        <w:autoSpaceDN w:val="0"/>
        <w:adjustRightInd w:val="0"/>
        <w:ind w:left="851" w:right="792"/>
        <w:jc w:val="both"/>
        <w:rPr>
          <w:rFonts w:ascii="Arial" w:hAnsi="Arial" w:cs="Arial"/>
          <w:sz w:val="16"/>
          <w:szCs w:val="16"/>
        </w:rPr>
      </w:pPr>
    </w:p>
    <w:p w14:paraId="581F8BED" w14:textId="61A75175" w:rsidR="00B90BDD" w:rsidRPr="00A153FB" w:rsidRDefault="00B90BDD" w:rsidP="00056FF2">
      <w:pPr>
        <w:autoSpaceDE w:val="0"/>
        <w:autoSpaceDN w:val="0"/>
        <w:adjustRightInd w:val="0"/>
        <w:ind w:left="851"/>
        <w:jc w:val="both"/>
        <w:rPr>
          <w:rFonts w:ascii="Arial" w:eastAsiaTheme="minorHAnsi" w:hAnsi="Arial" w:cs="Arial"/>
          <w:sz w:val="16"/>
          <w:szCs w:val="16"/>
          <w:u w:val="single"/>
        </w:rPr>
      </w:pPr>
      <w:r w:rsidRPr="00A153FB">
        <w:rPr>
          <w:rFonts w:ascii="Arial" w:eastAsiaTheme="minorHAnsi" w:hAnsi="Arial" w:cs="Arial"/>
          <w:sz w:val="16"/>
          <w:szCs w:val="16"/>
          <w:u w:val="single"/>
        </w:rPr>
        <w:t>Derivative instruments</w:t>
      </w:r>
    </w:p>
    <w:p w14:paraId="67D8CE7A" w14:textId="77777777" w:rsidR="00033D76" w:rsidRPr="00A153FB" w:rsidRDefault="00033D76" w:rsidP="00033D76">
      <w:pPr>
        <w:autoSpaceDE w:val="0"/>
        <w:autoSpaceDN w:val="0"/>
        <w:adjustRightInd w:val="0"/>
        <w:ind w:left="851" w:right="792"/>
        <w:jc w:val="both"/>
        <w:rPr>
          <w:rFonts w:ascii="Arial" w:hAnsi="Arial" w:cs="Arial"/>
          <w:sz w:val="16"/>
          <w:szCs w:val="16"/>
        </w:rPr>
      </w:pPr>
    </w:p>
    <w:p w14:paraId="5593DF37" w14:textId="32B17B0C" w:rsidR="00B90BDD" w:rsidRPr="00A153FB" w:rsidRDefault="00B90BDD" w:rsidP="00033D76">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Derivative instruments, including embedded derivatives, are measured at fair value on initial recognition and at</w:t>
      </w:r>
      <w:r w:rsidR="00056FF2" w:rsidRPr="00A153FB">
        <w:rPr>
          <w:rFonts w:ascii="Arial" w:hAnsi="Arial" w:cs="Arial"/>
          <w:sz w:val="16"/>
          <w:szCs w:val="16"/>
        </w:rPr>
        <w:t xml:space="preserve"> </w:t>
      </w:r>
      <w:r w:rsidRPr="00A153FB">
        <w:rPr>
          <w:rFonts w:ascii="Arial" w:hAnsi="Arial" w:cs="Arial"/>
          <w:sz w:val="16"/>
          <w:szCs w:val="16"/>
        </w:rPr>
        <w:t>each subsequent reporting period. Any gains or losses arising from changes in fair value on derivatives are</w:t>
      </w:r>
      <w:r w:rsidR="00056FF2" w:rsidRPr="00A153FB">
        <w:rPr>
          <w:rFonts w:ascii="Arial" w:hAnsi="Arial" w:cs="Arial"/>
          <w:sz w:val="16"/>
          <w:szCs w:val="16"/>
        </w:rPr>
        <w:t xml:space="preserve"> </w:t>
      </w:r>
      <w:r w:rsidRPr="00A153FB">
        <w:rPr>
          <w:rFonts w:ascii="Arial" w:hAnsi="Arial" w:cs="Arial"/>
          <w:sz w:val="16"/>
          <w:szCs w:val="16"/>
        </w:rPr>
        <w:t>recorded in net earnings.</w:t>
      </w:r>
    </w:p>
    <w:p w14:paraId="18A2F2C7" w14:textId="77777777" w:rsidR="004B0918" w:rsidRPr="00A153FB" w:rsidRDefault="004B0918" w:rsidP="00056FF2">
      <w:pPr>
        <w:autoSpaceDE w:val="0"/>
        <w:autoSpaceDN w:val="0"/>
        <w:adjustRightInd w:val="0"/>
        <w:ind w:left="851"/>
        <w:jc w:val="both"/>
        <w:rPr>
          <w:rFonts w:ascii="Arial" w:eastAsiaTheme="minorHAnsi" w:hAnsi="Arial" w:cs="Arial"/>
          <w:sz w:val="16"/>
          <w:szCs w:val="16"/>
          <w:u w:val="single"/>
        </w:rPr>
      </w:pPr>
    </w:p>
    <w:p w14:paraId="24E72157" w14:textId="71605B7E" w:rsidR="00B90BDD" w:rsidRPr="00A153FB" w:rsidRDefault="00B90BDD" w:rsidP="00056FF2">
      <w:pPr>
        <w:autoSpaceDE w:val="0"/>
        <w:autoSpaceDN w:val="0"/>
        <w:adjustRightInd w:val="0"/>
        <w:ind w:left="851"/>
        <w:jc w:val="both"/>
        <w:rPr>
          <w:rFonts w:ascii="Arial" w:eastAsiaTheme="minorHAnsi" w:hAnsi="Arial" w:cs="Arial"/>
          <w:sz w:val="16"/>
          <w:szCs w:val="16"/>
          <w:u w:val="single"/>
        </w:rPr>
      </w:pPr>
      <w:r w:rsidRPr="00A153FB">
        <w:rPr>
          <w:rFonts w:ascii="Arial" w:eastAsiaTheme="minorHAnsi" w:hAnsi="Arial" w:cs="Arial"/>
          <w:sz w:val="16"/>
          <w:szCs w:val="16"/>
          <w:u w:val="single"/>
        </w:rPr>
        <w:t>Fair values</w:t>
      </w:r>
    </w:p>
    <w:p w14:paraId="10A011D5" w14:textId="77777777" w:rsidR="00033D76" w:rsidRPr="00A153FB" w:rsidRDefault="00033D76" w:rsidP="00033D76">
      <w:pPr>
        <w:autoSpaceDE w:val="0"/>
        <w:autoSpaceDN w:val="0"/>
        <w:adjustRightInd w:val="0"/>
        <w:ind w:left="851" w:right="792"/>
        <w:jc w:val="both"/>
        <w:rPr>
          <w:rFonts w:ascii="Arial" w:hAnsi="Arial" w:cs="Arial"/>
          <w:sz w:val="16"/>
          <w:szCs w:val="16"/>
        </w:rPr>
      </w:pPr>
    </w:p>
    <w:p w14:paraId="757DE6CE" w14:textId="0BECD9F7" w:rsidR="00622CAF" w:rsidRPr="00A153FB" w:rsidRDefault="00B90BDD" w:rsidP="00033D76">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The fair value of quoted investments is determined by reference to market prices at the close of business on</w:t>
      </w:r>
      <w:r w:rsidR="00056FF2" w:rsidRPr="00A153FB">
        <w:rPr>
          <w:rFonts w:ascii="Arial" w:hAnsi="Arial" w:cs="Arial"/>
          <w:sz w:val="16"/>
          <w:szCs w:val="16"/>
        </w:rPr>
        <w:t xml:space="preserve"> </w:t>
      </w:r>
      <w:r w:rsidRPr="00A153FB">
        <w:rPr>
          <w:rFonts w:ascii="Arial" w:hAnsi="Arial" w:cs="Arial"/>
          <w:sz w:val="16"/>
          <w:szCs w:val="16"/>
        </w:rPr>
        <w:t>the statement of financial position date. Where there is no active market, fair value is determined using</w:t>
      </w:r>
      <w:r w:rsidR="00056FF2" w:rsidRPr="00A153FB">
        <w:rPr>
          <w:rFonts w:ascii="Arial" w:hAnsi="Arial" w:cs="Arial"/>
          <w:sz w:val="16"/>
          <w:szCs w:val="16"/>
        </w:rPr>
        <w:t xml:space="preserve"> </w:t>
      </w:r>
      <w:r w:rsidRPr="00A153FB">
        <w:rPr>
          <w:rFonts w:ascii="Arial" w:hAnsi="Arial" w:cs="Arial"/>
          <w:sz w:val="16"/>
          <w:szCs w:val="16"/>
        </w:rPr>
        <w:t>valuation techniques. These include using recent arm’s length market transactions; reference to the current</w:t>
      </w:r>
      <w:r w:rsidR="00056FF2" w:rsidRPr="00A153FB">
        <w:rPr>
          <w:rFonts w:ascii="Arial" w:hAnsi="Arial" w:cs="Arial"/>
          <w:sz w:val="16"/>
          <w:szCs w:val="16"/>
        </w:rPr>
        <w:t xml:space="preserve"> </w:t>
      </w:r>
      <w:r w:rsidRPr="00A153FB">
        <w:rPr>
          <w:rFonts w:ascii="Arial" w:hAnsi="Arial" w:cs="Arial"/>
          <w:sz w:val="16"/>
          <w:szCs w:val="16"/>
        </w:rPr>
        <w:t xml:space="preserve">market value of another instrument that is substantially the same; discounted cash flow analysis; </w:t>
      </w:r>
      <w:r w:rsidR="006E5727" w:rsidRPr="00A153FB">
        <w:rPr>
          <w:rFonts w:ascii="Arial" w:hAnsi="Arial" w:cs="Arial"/>
          <w:sz w:val="16"/>
          <w:szCs w:val="16"/>
        </w:rPr>
        <w:t>and</w:t>
      </w:r>
      <w:r w:rsidRPr="00A153FB">
        <w:rPr>
          <w:rFonts w:ascii="Arial" w:hAnsi="Arial" w:cs="Arial"/>
          <w:sz w:val="16"/>
          <w:szCs w:val="16"/>
        </w:rPr>
        <w:t xml:space="preserve"> pricing</w:t>
      </w:r>
      <w:r w:rsidR="00056FF2" w:rsidRPr="00A153FB">
        <w:rPr>
          <w:rFonts w:ascii="Arial" w:hAnsi="Arial" w:cs="Arial"/>
          <w:sz w:val="16"/>
          <w:szCs w:val="16"/>
        </w:rPr>
        <w:t xml:space="preserve"> </w:t>
      </w:r>
      <w:r w:rsidRPr="00A153FB">
        <w:rPr>
          <w:rFonts w:ascii="Arial" w:hAnsi="Arial" w:cs="Arial"/>
          <w:sz w:val="16"/>
          <w:szCs w:val="16"/>
        </w:rPr>
        <w:t>models.</w:t>
      </w:r>
      <w:r w:rsidR="00056FF2" w:rsidRPr="00A153FB">
        <w:rPr>
          <w:rFonts w:ascii="Arial" w:hAnsi="Arial" w:cs="Arial"/>
          <w:sz w:val="16"/>
          <w:szCs w:val="16"/>
        </w:rPr>
        <w:t xml:space="preserve"> </w:t>
      </w:r>
    </w:p>
    <w:p w14:paraId="49109258" w14:textId="77777777" w:rsidR="00622CAF" w:rsidRPr="00A153FB" w:rsidRDefault="00622CAF" w:rsidP="00B3116E">
      <w:pPr>
        <w:autoSpaceDE w:val="0"/>
        <w:autoSpaceDN w:val="0"/>
        <w:adjustRightInd w:val="0"/>
        <w:ind w:left="851" w:right="792"/>
        <w:jc w:val="both"/>
        <w:rPr>
          <w:rFonts w:ascii="Arial" w:hAnsi="Arial" w:cs="Arial"/>
          <w:sz w:val="16"/>
          <w:szCs w:val="16"/>
        </w:rPr>
      </w:pPr>
    </w:p>
    <w:p w14:paraId="19D1FCD7" w14:textId="36845E6D" w:rsidR="007234EF" w:rsidRPr="00A153FB" w:rsidRDefault="00B90BDD" w:rsidP="004B0918">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Financial instruments that are measured at fair value subsequent to initial recognition are grouped into a</w:t>
      </w:r>
      <w:r w:rsidR="00056FF2" w:rsidRPr="00A153FB">
        <w:rPr>
          <w:rFonts w:ascii="Arial" w:hAnsi="Arial" w:cs="Arial"/>
          <w:sz w:val="16"/>
          <w:szCs w:val="16"/>
        </w:rPr>
        <w:t xml:space="preserve"> </w:t>
      </w:r>
      <w:r w:rsidRPr="00A153FB">
        <w:rPr>
          <w:rFonts w:ascii="Arial" w:hAnsi="Arial" w:cs="Arial"/>
          <w:sz w:val="16"/>
          <w:szCs w:val="16"/>
        </w:rPr>
        <w:t>hierarchy based on the degree to which the fair value is observable as follows:</w:t>
      </w:r>
      <w:r w:rsidR="00056FF2" w:rsidRPr="00A153FB">
        <w:rPr>
          <w:rFonts w:ascii="Arial" w:hAnsi="Arial" w:cs="Arial"/>
          <w:sz w:val="16"/>
          <w:szCs w:val="16"/>
        </w:rPr>
        <w:t xml:space="preserve"> </w:t>
      </w:r>
    </w:p>
    <w:p w14:paraId="2C25DC70" w14:textId="77777777" w:rsidR="007234EF" w:rsidRPr="00A153FB" w:rsidRDefault="007234EF" w:rsidP="00B3116E">
      <w:pPr>
        <w:autoSpaceDE w:val="0"/>
        <w:autoSpaceDN w:val="0"/>
        <w:adjustRightInd w:val="0"/>
        <w:ind w:left="851" w:right="792"/>
        <w:jc w:val="both"/>
        <w:rPr>
          <w:rFonts w:ascii="Arial" w:hAnsi="Arial" w:cs="Arial"/>
          <w:sz w:val="16"/>
          <w:szCs w:val="16"/>
        </w:rPr>
      </w:pPr>
    </w:p>
    <w:p w14:paraId="2D6EC435" w14:textId="116A0A9D" w:rsidR="00622CAF" w:rsidRPr="00A153FB" w:rsidRDefault="00B90BDD" w:rsidP="00B3116E">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Level 1 fair value measurements are quoted prices (unadjusted) in active markets for identical assets or</w:t>
      </w:r>
      <w:r w:rsidR="00056FF2" w:rsidRPr="00A153FB">
        <w:rPr>
          <w:rFonts w:ascii="Arial" w:hAnsi="Arial" w:cs="Arial"/>
          <w:sz w:val="16"/>
          <w:szCs w:val="16"/>
        </w:rPr>
        <w:t xml:space="preserve"> </w:t>
      </w:r>
      <w:r w:rsidRPr="00A153FB">
        <w:rPr>
          <w:rFonts w:ascii="Arial" w:hAnsi="Arial" w:cs="Arial"/>
          <w:sz w:val="16"/>
          <w:szCs w:val="16"/>
        </w:rPr>
        <w:t>liabilities;</w:t>
      </w:r>
    </w:p>
    <w:p w14:paraId="368BABF8" w14:textId="77777777" w:rsidR="00622CAF" w:rsidRPr="00A153FB" w:rsidRDefault="00622CAF" w:rsidP="00B3116E">
      <w:pPr>
        <w:autoSpaceDE w:val="0"/>
        <w:autoSpaceDN w:val="0"/>
        <w:adjustRightInd w:val="0"/>
        <w:ind w:left="851" w:right="792"/>
        <w:jc w:val="both"/>
        <w:rPr>
          <w:rFonts w:ascii="Arial" w:hAnsi="Arial" w:cs="Arial"/>
          <w:sz w:val="16"/>
          <w:szCs w:val="16"/>
        </w:rPr>
      </w:pPr>
    </w:p>
    <w:p w14:paraId="31697A5A" w14:textId="77777777" w:rsidR="00622CAF" w:rsidRPr="00A153FB" w:rsidRDefault="00B90BDD" w:rsidP="00B3116E">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Level 2 fair value measurements are those derived from inputs other than quoted prices included within Level 1</w:t>
      </w:r>
      <w:r w:rsidR="00B3116E" w:rsidRPr="00A153FB">
        <w:rPr>
          <w:rFonts w:ascii="Arial" w:hAnsi="Arial" w:cs="Arial"/>
          <w:sz w:val="16"/>
          <w:szCs w:val="16"/>
        </w:rPr>
        <w:t xml:space="preserve"> </w:t>
      </w:r>
      <w:r w:rsidRPr="00A153FB">
        <w:rPr>
          <w:rFonts w:ascii="Arial" w:hAnsi="Arial" w:cs="Arial"/>
          <w:sz w:val="16"/>
          <w:szCs w:val="16"/>
        </w:rPr>
        <w:t>that are observable for the asset or liability either directly (i.e. as prices) or indirectly (i.e. derived from prices);</w:t>
      </w:r>
      <w:r w:rsidR="00B3116E" w:rsidRPr="00A153FB">
        <w:rPr>
          <w:rFonts w:ascii="Arial" w:hAnsi="Arial" w:cs="Arial"/>
          <w:sz w:val="16"/>
          <w:szCs w:val="16"/>
        </w:rPr>
        <w:t xml:space="preserve"> </w:t>
      </w:r>
      <w:r w:rsidRPr="00A153FB">
        <w:rPr>
          <w:rFonts w:ascii="Arial" w:hAnsi="Arial" w:cs="Arial"/>
          <w:sz w:val="16"/>
          <w:szCs w:val="16"/>
        </w:rPr>
        <w:t>and</w:t>
      </w:r>
      <w:r w:rsidR="00B3116E" w:rsidRPr="00A153FB">
        <w:rPr>
          <w:rFonts w:ascii="Arial" w:hAnsi="Arial" w:cs="Arial"/>
          <w:sz w:val="16"/>
          <w:szCs w:val="16"/>
        </w:rPr>
        <w:t xml:space="preserve"> </w:t>
      </w:r>
    </w:p>
    <w:p w14:paraId="4AE636A5" w14:textId="77777777" w:rsidR="000A4896" w:rsidRPr="00A153FB" w:rsidRDefault="000A4896" w:rsidP="00B3116E">
      <w:pPr>
        <w:autoSpaceDE w:val="0"/>
        <w:autoSpaceDN w:val="0"/>
        <w:adjustRightInd w:val="0"/>
        <w:ind w:left="851" w:right="792"/>
        <w:jc w:val="both"/>
        <w:rPr>
          <w:rFonts w:ascii="Arial" w:hAnsi="Arial" w:cs="Arial"/>
          <w:sz w:val="16"/>
          <w:szCs w:val="16"/>
        </w:rPr>
      </w:pPr>
    </w:p>
    <w:p w14:paraId="2C65846D" w14:textId="78F147D3" w:rsidR="00B90BDD" w:rsidRPr="00A153FB" w:rsidRDefault="00B90BDD" w:rsidP="00B3116E">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Level 3 fair value measurements are those derived from valuation techniques that include inputs for the asset</w:t>
      </w:r>
      <w:r w:rsidR="00B3116E" w:rsidRPr="00A153FB">
        <w:rPr>
          <w:rFonts w:ascii="Arial" w:hAnsi="Arial" w:cs="Arial"/>
          <w:sz w:val="16"/>
          <w:szCs w:val="16"/>
        </w:rPr>
        <w:t xml:space="preserve"> </w:t>
      </w:r>
      <w:r w:rsidRPr="00A153FB">
        <w:rPr>
          <w:rFonts w:ascii="Arial" w:hAnsi="Arial" w:cs="Arial"/>
          <w:sz w:val="16"/>
          <w:szCs w:val="16"/>
        </w:rPr>
        <w:t>or liability that are not based on observable market data (unobservable inputs).</w:t>
      </w:r>
    </w:p>
    <w:p w14:paraId="3D0FF930" w14:textId="77777777" w:rsidR="005310AF" w:rsidRPr="00A153FB" w:rsidRDefault="005310AF" w:rsidP="00056FF2">
      <w:pPr>
        <w:autoSpaceDE w:val="0"/>
        <w:autoSpaceDN w:val="0"/>
        <w:adjustRightInd w:val="0"/>
        <w:ind w:left="851" w:right="792"/>
        <w:jc w:val="both"/>
        <w:rPr>
          <w:rFonts w:ascii="Arial" w:hAnsi="Arial" w:cs="Arial"/>
          <w:sz w:val="16"/>
          <w:szCs w:val="16"/>
        </w:rPr>
      </w:pPr>
    </w:p>
    <w:p w14:paraId="4D961C51" w14:textId="3C66D672" w:rsidR="00B90BDD" w:rsidRPr="00A153FB" w:rsidRDefault="00B90BDD" w:rsidP="00B3116E">
      <w:pPr>
        <w:autoSpaceDE w:val="0"/>
        <w:autoSpaceDN w:val="0"/>
        <w:adjustRightInd w:val="0"/>
        <w:ind w:left="851"/>
        <w:jc w:val="both"/>
        <w:rPr>
          <w:rFonts w:ascii="Arial" w:eastAsiaTheme="minorHAnsi" w:hAnsi="Arial" w:cs="Arial"/>
          <w:sz w:val="16"/>
          <w:szCs w:val="16"/>
          <w:u w:val="single"/>
        </w:rPr>
      </w:pPr>
      <w:r w:rsidRPr="00A153FB">
        <w:rPr>
          <w:rFonts w:ascii="Arial" w:eastAsiaTheme="minorHAnsi" w:hAnsi="Arial" w:cs="Arial"/>
          <w:sz w:val="16"/>
          <w:szCs w:val="16"/>
          <w:u w:val="single"/>
        </w:rPr>
        <w:t>Impairment of financial assets</w:t>
      </w:r>
    </w:p>
    <w:p w14:paraId="212F213C" w14:textId="77777777" w:rsidR="001E0283" w:rsidRPr="00A153FB" w:rsidRDefault="001E0283" w:rsidP="001E0283">
      <w:pPr>
        <w:autoSpaceDE w:val="0"/>
        <w:autoSpaceDN w:val="0"/>
        <w:adjustRightInd w:val="0"/>
        <w:ind w:left="851" w:right="792"/>
        <w:jc w:val="both"/>
        <w:rPr>
          <w:rFonts w:ascii="Arial" w:hAnsi="Arial" w:cs="Arial"/>
          <w:sz w:val="16"/>
          <w:szCs w:val="16"/>
        </w:rPr>
      </w:pPr>
    </w:p>
    <w:p w14:paraId="70B74132" w14:textId="5DE5FDC5" w:rsidR="00B90BDD" w:rsidRPr="00A153FB" w:rsidRDefault="00B90BDD" w:rsidP="001E0283">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At each balance sheet date, on a forward-looking basis, the Corporation assesses the expected credit losses</w:t>
      </w:r>
      <w:r w:rsidR="00B3116E" w:rsidRPr="00A153FB">
        <w:rPr>
          <w:rFonts w:ascii="Arial" w:hAnsi="Arial" w:cs="Arial"/>
          <w:sz w:val="16"/>
          <w:szCs w:val="16"/>
        </w:rPr>
        <w:t xml:space="preserve"> </w:t>
      </w:r>
      <w:r w:rsidRPr="00A153FB">
        <w:rPr>
          <w:rFonts w:ascii="Arial" w:hAnsi="Arial" w:cs="Arial"/>
          <w:sz w:val="16"/>
          <w:szCs w:val="16"/>
        </w:rPr>
        <w:t>associated with its financial assets carried at amortized cost and FVOCI. The impairment methodology applied</w:t>
      </w:r>
      <w:r w:rsidR="00B3116E" w:rsidRPr="00A153FB">
        <w:rPr>
          <w:rFonts w:ascii="Arial" w:hAnsi="Arial" w:cs="Arial"/>
          <w:sz w:val="16"/>
          <w:szCs w:val="16"/>
        </w:rPr>
        <w:t xml:space="preserve"> </w:t>
      </w:r>
      <w:r w:rsidRPr="00A153FB">
        <w:rPr>
          <w:rFonts w:ascii="Arial" w:hAnsi="Arial" w:cs="Arial"/>
          <w:sz w:val="16"/>
          <w:szCs w:val="16"/>
        </w:rPr>
        <w:t>depends on whether there has been a significant increase in credit risk. The impairment model does not apply</w:t>
      </w:r>
      <w:r w:rsidR="00B3116E" w:rsidRPr="00A153FB">
        <w:rPr>
          <w:rFonts w:ascii="Arial" w:hAnsi="Arial" w:cs="Arial"/>
          <w:sz w:val="16"/>
          <w:szCs w:val="16"/>
        </w:rPr>
        <w:t xml:space="preserve"> </w:t>
      </w:r>
      <w:r w:rsidRPr="00A153FB">
        <w:rPr>
          <w:rFonts w:ascii="Arial" w:hAnsi="Arial" w:cs="Arial"/>
          <w:sz w:val="16"/>
          <w:szCs w:val="16"/>
        </w:rPr>
        <w:t>to investment in equity instruments. The expected credit losses are required to be measured through a loss</w:t>
      </w:r>
      <w:r w:rsidR="00B3116E" w:rsidRPr="00A153FB">
        <w:rPr>
          <w:rFonts w:ascii="Arial" w:hAnsi="Arial" w:cs="Arial"/>
          <w:sz w:val="16"/>
          <w:szCs w:val="16"/>
        </w:rPr>
        <w:t xml:space="preserve"> </w:t>
      </w:r>
      <w:r w:rsidRPr="00A153FB">
        <w:rPr>
          <w:rFonts w:ascii="Arial" w:hAnsi="Arial" w:cs="Arial"/>
          <w:sz w:val="16"/>
          <w:szCs w:val="16"/>
        </w:rPr>
        <w:t>allowance at an amount equal to the 12- month expected credit losses (expected credit losses that result from</w:t>
      </w:r>
      <w:r w:rsidR="00B3116E" w:rsidRPr="00A153FB">
        <w:rPr>
          <w:rFonts w:ascii="Arial" w:hAnsi="Arial" w:cs="Arial"/>
          <w:sz w:val="16"/>
          <w:szCs w:val="16"/>
        </w:rPr>
        <w:t xml:space="preserve"> </w:t>
      </w:r>
      <w:r w:rsidRPr="00A153FB">
        <w:rPr>
          <w:rFonts w:ascii="Arial" w:hAnsi="Arial" w:cs="Arial"/>
          <w:sz w:val="16"/>
          <w:szCs w:val="16"/>
        </w:rPr>
        <w:t>those default events on the financial instrument that are possible within 12 months after the reporting date) or</w:t>
      </w:r>
      <w:r w:rsidR="00B3116E" w:rsidRPr="00A153FB">
        <w:rPr>
          <w:rFonts w:ascii="Arial" w:hAnsi="Arial" w:cs="Arial"/>
          <w:sz w:val="16"/>
          <w:szCs w:val="16"/>
        </w:rPr>
        <w:t xml:space="preserve"> </w:t>
      </w:r>
      <w:r w:rsidRPr="00A153FB">
        <w:rPr>
          <w:rFonts w:ascii="Arial" w:hAnsi="Arial" w:cs="Arial"/>
          <w:sz w:val="16"/>
          <w:szCs w:val="16"/>
        </w:rPr>
        <w:t>full lifetime expected credit losses (expected credit losses that result from all possible default events over the</w:t>
      </w:r>
      <w:r w:rsidR="00B3116E" w:rsidRPr="00A153FB">
        <w:rPr>
          <w:rFonts w:ascii="Arial" w:hAnsi="Arial" w:cs="Arial"/>
          <w:sz w:val="16"/>
          <w:szCs w:val="16"/>
        </w:rPr>
        <w:t xml:space="preserve"> </w:t>
      </w:r>
      <w:r w:rsidRPr="00A153FB">
        <w:rPr>
          <w:rFonts w:ascii="Arial" w:hAnsi="Arial" w:cs="Arial"/>
          <w:sz w:val="16"/>
          <w:szCs w:val="16"/>
        </w:rPr>
        <w:t>life of the financial instrument). A loss allowance for full lifetime expected credit losses is required for a financial</w:t>
      </w:r>
      <w:r w:rsidR="00B3116E" w:rsidRPr="00A153FB">
        <w:rPr>
          <w:rFonts w:ascii="Arial" w:hAnsi="Arial" w:cs="Arial"/>
          <w:sz w:val="16"/>
          <w:szCs w:val="16"/>
        </w:rPr>
        <w:t xml:space="preserve"> </w:t>
      </w:r>
      <w:r w:rsidRPr="00A153FB">
        <w:rPr>
          <w:rFonts w:ascii="Arial" w:hAnsi="Arial" w:cs="Arial"/>
          <w:sz w:val="16"/>
          <w:szCs w:val="16"/>
        </w:rPr>
        <w:t>instrument if the credit risk of that financial instrument has increased significantly since initial recognition.</w:t>
      </w:r>
    </w:p>
    <w:p w14:paraId="79E02C0C" w14:textId="77777777" w:rsidR="00FE5118" w:rsidRPr="00A153FB" w:rsidRDefault="00FE5118" w:rsidP="00B3116E">
      <w:pPr>
        <w:autoSpaceDE w:val="0"/>
        <w:autoSpaceDN w:val="0"/>
        <w:adjustRightInd w:val="0"/>
        <w:ind w:left="851"/>
        <w:jc w:val="both"/>
        <w:rPr>
          <w:rFonts w:ascii="Arial" w:eastAsiaTheme="minorHAnsi" w:hAnsi="Arial" w:cs="Arial"/>
          <w:sz w:val="16"/>
          <w:szCs w:val="16"/>
          <w:u w:val="single"/>
        </w:rPr>
      </w:pPr>
    </w:p>
    <w:p w14:paraId="414D1C31" w14:textId="624E88BA" w:rsidR="00B90BDD" w:rsidRPr="00A153FB" w:rsidRDefault="00B90BDD" w:rsidP="00B3116E">
      <w:pPr>
        <w:autoSpaceDE w:val="0"/>
        <w:autoSpaceDN w:val="0"/>
        <w:adjustRightInd w:val="0"/>
        <w:ind w:left="851"/>
        <w:jc w:val="both"/>
        <w:rPr>
          <w:rFonts w:ascii="Arial" w:eastAsiaTheme="minorHAnsi" w:hAnsi="Arial" w:cs="Arial"/>
          <w:sz w:val="16"/>
          <w:szCs w:val="16"/>
          <w:u w:val="single"/>
        </w:rPr>
      </w:pPr>
      <w:r w:rsidRPr="00A153FB">
        <w:rPr>
          <w:rFonts w:ascii="Arial" w:eastAsiaTheme="minorHAnsi" w:hAnsi="Arial" w:cs="Arial"/>
          <w:sz w:val="16"/>
          <w:szCs w:val="16"/>
          <w:u w:val="single"/>
        </w:rPr>
        <w:t>Derecognition of financial assets and liabilities</w:t>
      </w:r>
    </w:p>
    <w:p w14:paraId="281ACCB2" w14:textId="77777777" w:rsidR="001E0283" w:rsidRPr="00A153FB" w:rsidRDefault="001E0283" w:rsidP="001E0283">
      <w:pPr>
        <w:autoSpaceDE w:val="0"/>
        <w:autoSpaceDN w:val="0"/>
        <w:adjustRightInd w:val="0"/>
        <w:ind w:left="851" w:right="792"/>
        <w:jc w:val="both"/>
        <w:rPr>
          <w:rFonts w:ascii="Arial" w:hAnsi="Arial" w:cs="Arial"/>
          <w:sz w:val="16"/>
          <w:szCs w:val="16"/>
        </w:rPr>
      </w:pPr>
    </w:p>
    <w:p w14:paraId="1716F112" w14:textId="1872A0F7" w:rsidR="007234EF" w:rsidRPr="00A153FB" w:rsidRDefault="00B90BDD" w:rsidP="001E0283">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A financial asset is derecognised when either the rights to receive cash flows from the asset have expired or</w:t>
      </w:r>
      <w:r w:rsidR="00B3116E" w:rsidRPr="00A153FB">
        <w:rPr>
          <w:rFonts w:ascii="Arial" w:hAnsi="Arial" w:cs="Arial"/>
          <w:sz w:val="16"/>
          <w:szCs w:val="16"/>
        </w:rPr>
        <w:t xml:space="preserve"> </w:t>
      </w:r>
      <w:r w:rsidRPr="00A153FB">
        <w:rPr>
          <w:rFonts w:ascii="Arial" w:hAnsi="Arial" w:cs="Arial"/>
          <w:sz w:val="16"/>
          <w:szCs w:val="16"/>
        </w:rPr>
        <w:t>the Corporation has transferred its rights to receive cash flows from the asset or has assumed an obligation to</w:t>
      </w:r>
      <w:r w:rsidR="00B3116E" w:rsidRPr="00A153FB">
        <w:rPr>
          <w:rFonts w:ascii="Arial" w:hAnsi="Arial" w:cs="Arial"/>
          <w:sz w:val="16"/>
          <w:szCs w:val="16"/>
        </w:rPr>
        <w:t xml:space="preserve"> </w:t>
      </w:r>
      <w:r w:rsidRPr="00A153FB">
        <w:rPr>
          <w:rFonts w:ascii="Arial" w:hAnsi="Arial" w:cs="Arial"/>
          <w:sz w:val="16"/>
          <w:szCs w:val="16"/>
        </w:rPr>
        <w:t>pay the received cash flows in full without material delay to a third party. If neither the rights to receive cash</w:t>
      </w:r>
      <w:r w:rsidR="00B3116E" w:rsidRPr="00A153FB">
        <w:rPr>
          <w:rFonts w:ascii="Arial" w:hAnsi="Arial" w:cs="Arial"/>
          <w:sz w:val="16"/>
          <w:szCs w:val="16"/>
        </w:rPr>
        <w:t xml:space="preserve"> </w:t>
      </w:r>
      <w:r w:rsidRPr="00A153FB">
        <w:rPr>
          <w:rFonts w:ascii="Arial" w:hAnsi="Arial" w:cs="Arial"/>
          <w:sz w:val="16"/>
          <w:szCs w:val="16"/>
        </w:rPr>
        <w:t>flows from the asset have expired nor the Corporation has transferred its rights to receive cash flows from the</w:t>
      </w:r>
      <w:r w:rsidR="00B3116E" w:rsidRPr="00A153FB">
        <w:rPr>
          <w:rFonts w:ascii="Arial" w:hAnsi="Arial" w:cs="Arial"/>
          <w:sz w:val="16"/>
          <w:szCs w:val="16"/>
        </w:rPr>
        <w:t xml:space="preserve"> </w:t>
      </w:r>
      <w:r w:rsidRPr="00A153FB">
        <w:rPr>
          <w:rFonts w:ascii="Arial" w:hAnsi="Arial" w:cs="Arial"/>
          <w:sz w:val="16"/>
          <w:szCs w:val="16"/>
        </w:rPr>
        <w:t>asset, the Corporation will assess whether it has relinquished control of the asset or not. If the Corporation</w:t>
      </w:r>
      <w:r w:rsidR="00B3116E" w:rsidRPr="00A153FB">
        <w:rPr>
          <w:rFonts w:ascii="Arial" w:hAnsi="Arial" w:cs="Arial"/>
          <w:sz w:val="16"/>
          <w:szCs w:val="16"/>
        </w:rPr>
        <w:t xml:space="preserve"> </w:t>
      </w:r>
      <w:r w:rsidRPr="00A153FB">
        <w:rPr>
          <w:rFonts w:ascii="Arial" w:hAnsi="Arial" w:cs="Arial"/>
          <w:sz w:val="16"/>
          <w:szCs w:val="16"/>
        </w:rPr>
        <w:t xml:space="preserve">does not control the </w:t>
      </w:r>
      <w:r w:rsidR="006E5727" w:rsidRPr="00A153FB">
        <w:rPr>
          <w:rFonts w:ascii="Arial" w:hAnsi="Arial" w:cs="Arial"/>
          <w:sz w:val="16"/>
          <w:szCs w:val="16"/>
        </w:rPr>
        <w:t>asset,</w:t>
      </w:r>
      <w:r w:rsidRPr="00A153FB">
        <w:rPr>
          <w:rFonts w:ascii="Arial" w:hAnsi="Arial" w:cs="Arial"/>
          <w:sz w:val="16"/>
          <w:szCs w:val="16"/>
        </w:rPr>
        <w:t xml:space="preserve"> then derecognition is appropriate.</w:t>
      </w:r>
      <w:r w:rsidR="00B3116E" w:rsidRPr="00A153FB">
        <w:rPr>
          <w:rFonts w:ascii="Arial" w:hAnsi="Arial" w:cs="Arial"/>
          <w:sz w:val="16"/>
          <w:szCs w:val="16"/>
        </w:rPr>
        <w:t xml:space="preserve"> </w:t>
      </w:r>
    </w:p>
    <w:p w14:paraId="1BBC0F78" w14:textId="77777777" w:rsidR="007234EF" w:rsidRPr="00A153FB" w:rsidRDefault="007234EF" w:rsidP="00B3116E">
      <w:pPr>
        <w:autoSpaceDE w:val="0"/>
        <w:autoSpaceDN w:val="0"/>
        <w:adjustRightInd w:val="0"/>
        <w:ind w:left="851" w:right="792"/>
        <w:jc w:val="both"/>
        <w:rPr>
          <w:rFonts w:ascii="Arial" w:hAnsi="Arial" w:cs="Arial"/>
          <w:sz w:val="16"/>
          <w:szCs w:val="16"/>
        </w:rPr>
      </w:pPr>
    </w:p>
    <w:p w14:paraId="3900FC85" w14:textId="662B0718" w:rsidR="00B90BDD" w:rsidRPr="00A153FB" w:rsidRDefault="00B90BDD" w:rsidP="00B3116E">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A financial liability is derecognised when the associated obligation is discharged or canceled or expires. When</w:t>
      </w:r>
      <w:r w:rsidR="00B3116E" w:rsidRPr="00A153FB">
        <w:rPr>
          <w:rFonts w:ascii="Arial" w:hAnsi="Arial" w:cs="Arial"/>
          <w:sz w:val="16"/>
          <w:szCs w:val="16"/>
        </w:rPr>
        <w:t xml:space="preserve"> </w:t>
      </w:r>
      <w:r w:rsidRPr="00A153FB">
        <w:rPr>
          <w:rFonts w:ascii="Arial" w:hAnsi="Arial" w:cs="Arial"/>
          <w:sz w:val="16"/>
          <w:szCs w:val="16"/>
        </w:rPr>
        <w:t>an existing financial liability is replaced by another from the same lender on substantially different terms, or the</w:t>
      </w:r>
      <w:r w:rsidR="00B3116E" w:rsidRPr="00A153FB">
        <w:rPr>
          <w:rFonts w:ascii="Arial" w:hAnsi="Arial" w:cs="Arial"/>
          <w:sz w:val="16"/>
          <w:szCs w:val="16"/>
        </w:rPr>
        <w:t xml:space="preserve"> </w:t>
      </w:r>
      <w:r w:rsidRPr="00A153FB">
        <w:rPr>
          <w:rFonts w:ascii="Arial" w:hAnsi="Arial" w:cs="Arial"/>
          <w:sz w:val="16"/>
          <w:szCs w:val="16"/>
        </w:rPr>
        <w:t>terms of an existing liability are substantially modified, such an exchange or modification is treated as the</w:t>
      </w:r>
      <w:r w:rsidR="00B3116E" w:rsidRPr="00A153FB">
        <w:rPr>
          <w:rFonts w:ascii="Arial" w:hAnsi="Arial" w:cs="Arial"/>
          <w:sz w:val="16"/>
          <w:szCs w:val="16"/>
        </w:rPr>
        <w:t xml:space="preserve"> </w:t>
      </w:r>
      <w:r w:rsidRPr="00A153FB">
        <w:rPr>
          <w:rFonts w:ascii="Arial" w:hAnsi="Arial" w:cs="Arial"/>
          <w:sz w:val="16"/>
          <w:szCs w:val="16"/>
        </w:rPr>
        <w:t>derecognition of the original liability and the recognition of a new liability. The difference in the respective</w:t>
      </w:r>
      <w:r w:rsidR="00B3116E" w:rsidRPr="00A153FB">
        <w:rPr>
          <w:rFonts w:ascii="Arial" w:hAnsi="Arial" w:cs="Arial"/>
          <w:sz w:val="16"/>
          <w:szCs w:val="16"/>
        </w:rPr>
        <w:t xml:space="preserve"> </w:t>
      </w:r>
      <w:r w:rsidRPr="00A153FB">
        <w:rPr>
          <w:rFonts w:ascii="Arial" w:hAnsi="Arial" w:cs="Arial"/>
          <w:sz w:val="16"/>
          <w:szCs w:val="16"/>
        </w:rPr>
        <w:t>carrying amounts is recognised in net earnings.</w:t>
      </w:r>
    </w:p>
    <w:p w14:paraId="54E60861" w14:textId="670C474E" w:rsidR="001F1E3D" w:rsidRDefault="001F1E3D">
      <w:pPr>
        <w:widowControl w:val="0"/>
        <w:autoSpaceDE w:val="0"/>
        <w:autoSpaceDN w:val="0"/>
        <w:rPr>
          <w:rFonts w:ascii="Arial" w:eastAsiaTheme="minorHAnsi" w:hAnsi="Arial" w:cs="Arial"/>
          <w:sz w:val="16"/>
          <w:szCs w:val="16"/>
        </w:rPr>
      </w:pPr>
      <w:r>
        <w:rPr>
          <w:rFonts w:ascii="Arial" w:eastAsiaTheme="minorHAnsi" w:hAnsi="Arial" w:cs="Arial"/>
        </w:rPr>
        <w:br w:type="page"/>
      </w:r>
    </w:p>
    <w:p w14:paraId="4D56FF72" w14:textId="77777777" w:rsidR="001E0283" w:rsidRDefault="001E0283" w:rsidP="001E0283">
      <w:pPr>
        <w:autoSpaceDE w:val="0"/>
        <w:autoSpaceDN w:val="0"/>
        <w:adjustRightInd w:val="0"/>
        <w:ind w:left="851" w:right="792"/>
        <w:jc w:val="both"/>
        <w:rPr>
          <w:rFonts w:ascii="Arial" w:hAnsi="Arial" w:cs="Arial"/>
          <w:sz w:val="16"/>
          <w:szCs w:val="16"/>
        </w:rPr>
      </w:pPr>
    </w:p>
    <w:p w14:paraId="19104FA9" w14:textId="77777777" w:rsidR="001E0283" w:rsidRPr="00A153FB" w:rsidRDefault="001E0283" w:rsidP="001E0283">
      <w:pPr>
        <w:autoSpaceDE w:val="0"/>
        <w:autoSpaceDN w:val="0"/>
        <w:adjustRightInd w:val="0"/>
        <w:ind w:left="851" w:right="792"/>
        <w:jc w:val="both"/>
        <w:rPr>
          <w:rFonts w:ascii="Arial" w:hAnsi="Arial" w:cs="Arial"/>
          <w:sz w:val="16"/>
          <w:szCs w:val="16"/>
        </w:rPr>
      </w:pPr>
    </w:p>
    <w:p w14:paraId="4E763059" w14:textId="45EE36C9" w:rsidR="00B90BDD" w:rsidRPr="00A153FB" w:rsidRDefault="00B90BDD" w:rsidP="001E0283">
      <w:pPr>
        <w:autoSpaceDE w:val="0"/>
        <w:autoSpaceDN w:val="0"/>
        <w:adjustRightInd w:val="0"/>
        <w:ind w:left="851"/>
        <w:jc w:val="both"/>
        <w:rPr>
          <w:rFonts w:ascii="Arial" w:eastAsiaTheme="minorHAnsi" w:hAnsi="Arial" w:cs="Arial"/>
          <w:b/>
          <w:bCs/>
          <w:sz w:val="16"/>
          <w:szCs w:val="16"/>
        </w:rPr>
      </w:pPr>
      <w:r w:rsidRPr="00A153FB">
        <w:rPr>
          <w:rFonts w:ascii="Arial" w:eastAsiaTheme="minorHAnsi" w:hAnsi="Arial" w:cs="Arial"/>
          <w:b/>
          <w:bCs/>
          <w:sz w:val="16"/>
          <w:szCs w:val="16"/>
        </w:rPr>
        <w:t>Exploration and Evaluation</w:t>
      </w:r>
    </w:p>
    <w:p w14:paraId="5C62347C" w14:textId="77777777" w:rsidR="00A7016F" w:rsidRPr="00A153FB" w:rsidRDefault="00A7016F" w:rsidP="00A7016F">
      <w:pPr>
        <w:autoSpaceDE w:val="0"/>
        <w:autoSpaceDN w:val="0"/>
        <w:adjustRightInd w:val="0"/>
        <w:ind w:left="851"/>
        <w:jc w:val="both"/>
        <w:rPr>
          <w:rFonts w:ascii="Arial" w:hAnsi="Arial" w:cs="Arial"/>
          <w:sz w:val="16"/>
          <w:szCs w:val="16"/>
        </w:rPr>
      </w:pPr>
    </w:p>
    <w:p w14:paraId="66B6B325" w14:textId="7E2DC45C" w:rsidR="00B90BDD" w:rsidRPr="00A153FB" w:rsidRDefault="00B90BDD" w:rsidP="00B3116E">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The Corporation is in the process of exploring its mineral properties and chooses to expense acquisition costs</w:t>
      </w:r>
      <w:r w:rsidR="00B3116E" w:rsidRPr="00A153FB">
        <w:rPr>
          <w:rFonts w:ascii="Arial" w:hAnsi="Arial" w:cs="Arial"/>
          <w:sz w:val="16"/>
          <w:szCs w:val="16"/>
        </w:rPr>
        <w:t xml:space="preserve"> </w:t>
      </w:r>
      <w:r w:rsidRPr="00A153FB">
        <w:rPr>
          <w:rFonts w:ascii="Arial" w:hAnsi="Arial" w:cs="Arial"/>
          <w:sz w:val="16"/>
          <w:szCs w:val="16"/>
        </w:rPr>
        <w:t>for property rights. Mineral property acquisition costs include the cash consideration given, direct legal costs</w:t>
      </w:r>
      <w:r w:rsidR="00B3116E" w:rsidRPr="00A153FB">
        <w:rPr>
          <w:rFonts w:ascii="Arial" w:hAnsi="Arial" w:cs="Arial"/>
          <w:sz w:val="16"/>
          <w:szCs w:val="16"/>
        </w:rPr>
        <w:t xml:space="preserve"> </w:t>
      </w:r>
      <w:r w:rsidRPr="00A153FB">
        <w:rPr>
          <w:rFonts w:ascii="Arial" w:hAnsi="Arial" w:cs="Arial"/>
          <w:sz w:val="16"/>
          <w:szCs w:val="16"/>
        </w:rPr>
        <w:t>incurred for the acquisition, and issuance of shares for mineral property interests. Where the Corporation has</w:t>
      </w:r>
      <w:r w:rsidR="00B3116E" w:rsidRPr="00A153FB">
        <w:rPr>
          <w:rFonts w:ascii="Arial" w:hAnsi="Arial" w:cs="Arial"/>
          <w:sz w:val="16"/>
          <w:szCs w:val="16"/>
        </w:rPr>
        <w:t xml:space="preserve"> </w:t>
      </w:r>
      <w:r w:rsidRPr="00A153FB">
        <w:rPr>
          <w:rFonts w:ascii="Arial" w:hAnsi="Arial" w:cs="Arial"/>
          <w:sz w:val="16"/>
          <w:szCs w:val="16"/>
        </w:rPr>
        <w:t>entered into an option agreement for the acquisition of an interest in a mineral property which provides for</w:t>
      </w:r>
      <w:r w:rsidR="00B3116E" w:rsidRPr="00A153FB">
        <w:rPr>
          <w:rFonts w:ascii="Arial" w:hAnsi="Arial" w:cs="Arial"/>
          <w:sz w:val="16"/>
          <w:szCs w:val="16"/>
        </w:rPr>
        <w:t xml:space="preserve"> </w:t>
      </w:r>
      <w:r w:rsidRPr="00A153FB">
        <w:rPr>
          <w:rFonts w:ascii="Arial" w:hAnsi="Arial" w:cs="Arial"/>
          <w:sz w:val="16"/>
          <w:szCs w:val="16"/>
        </w:rPr>
        <w:t>periodic payments, such amounts unpaid are not recorded as a liability since they are payable entirely at the</w:t>
      </w:r>
      <w:r w:rsidR="00B3116E" w:rsidRPr="00A153FB">
        <w:rPr>
          <w:rFonts w:ascii="Arial" w:hAnsi="Arial" w:cs="Arial"/>
          <w:sz w:val="16"/>
          <w:szCs w:val="16"/>
        </w:rPr>
        <w:t xml:space="preserve"> </w:t>
      </w:r>
      <w:r w:rsidRPr="00A153FB">
        <w:rPr>
          <w:rFonts w:ascii="Arial" w:hAnsi="Arial" w:cs="Arial"/>
          <w:sz w:val="16"/>
          <w:szCs w:val="16"/>
        </w:rPr>
        <w:t>Corporation’s discretion.</w:t>
      </w:r>
    </w:p>
    <w:p w14:paraId="530F1105" w14:textId="77777777" w:rsidR="007234EF" w:rsidRPr="00A153FB" w:rsidRDefault="007234EF" w:rsidP="00B3116E">
      <w:pPr>
        <w:autoSpaceDE w:val="0"/>
        <w:autoSpaceDN w:val="0"/>
        <w:adjustRightInd w:val="0"/>
        <w:ind w:left="851" w:right="792"/>
        <w:jc w:val="both"/>
        <w:rPr>
          <w:rFonts w:ascii="Arial" w:hAnsi="Arial" w:cs="Arial"/>
          <w:sz w:val="16"/>
          <w:szCs w:val="16"/>
        </w:rPr>
      </w:pPr>
    </w:p>
    <w:p w14:paraId="45403F92" w14:textId="18AA29B7" w:rsidR="00B90BDD" w:rsidRPr="00A153FB" w:rsidRDefault="00B90BDD" w:rsidP="00B3116E">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The Corporation has adopted the policy of expensing exploration costs and periodic maintenance costs</w:t>
      </w:r>
      <w:r w:rsidR="00B3116E" w:rsidRPr="00A153FB">
        <w:rPr>
          <w:rFonts w:ascii="Arial" w:hAnsi="Arial" w:cs="Arial"/>
          <w:sz w:val="16"/>
          <w:szCs w:val="16"/>
        </w:rPr>
        <w:t xml:space="preserve"> </w:t>
      </w:r>
      <w:r w:rsidRPr="00A153FB">
        <w:rPr>
          <w:rFonts w:ascii="Arial" w:hAnsi="Arial" w:cs="Arial"/>
          <w:sz w:val="16"/>
          <w:szCs w:val="16"/>
        </w:rPr>
        <w:t>incurred prior to the determination that a property has economically recoverable reserves.</w:t>
      </w:r>
    </w:p>
    <w:p w14:paraId="198B42D9" w14:textId="77777777" w:rsidR="00AE2C97" w:rsidRPr="00A153FB" w:rsidRDefault="00AE2C97" w:rsidP="00AE2C97">
      <w:pPr>
        <w:autoSpaceDE w:val="0"/>
        <w:autoSpaceDN w:val="0"/>
        <w:adjustRightInd w:val="0"/>
        <w:ind w:left="851"/>
        <w:jc w:val="both"/>
        <w:rPr>
          <w:rFonts w:ascii="Arial" w:eastAsiaTheme="minorHAnsi" w:hAnsi="Arial" w:cs="Arial"/>
          <w:b/>
          <w:bCs/>
          <w:sz w:val="16"/>
          <w:szCs w:val="16"/>
        </w:rPr>
      </w:pPr>
    </w:p>
    <w:p w14:paraId="14F67C98" w14:textId="7B6BFA19" w:rsidR="00AE2C97" w:rsidRPr="00A153FB" w:rsidRDefault="00AE2C97" w:rsidP="00AE2C97">
      <w:pPr>
        <w:autoSpaceDE w:val="0"/>
        <w:autoSpaceDN w:val="0"/>
        <w:adjustRightInd w:val="0"/>
        <w:ind w:left="851"/>
        <w:jc w:val="both"/>
        <w:rPr>
          <w:rFonts w:ascii="Arial" w:eastAsiaTheme="minorHAnsi" w:hAnsi="Arial" w:cs="Arial"/>
          <w:b/>
          <w:bCs/>
          <w:sz w:val="16"/>
          <w:szCs w:val="16"/>
        </w:rPr>
      </w:pPr>
      <w:r w:rsidRPr="00A153FB">
        <w:rPr>
          <w:rFonts w:ascii="Arial" w:eastAsiaTheme="minorHAnsi" w:hAnsi="Arial" w:cs="Arial"/>
          <w:b/>
          <w:bCs/>
          <w:sz w:val="16"/>
          <w:szCs w:val="16"/>
        </w:rPr>
        <w:t>Equipment and leaseholds</w:t>
      </w:r>
    </w:p>
    <w:p w14:paraId="78667B54" w14:textId="77777777" w:rsidR="00EC657D" w:rsidRPr="00A153FB" w:rsidRDefault="00EC657D" w:rsidP="00AE2C97">
      <w:pPr>
        <w:autoSpaceDE w:val="0"/>
        <w:autoSpaceDN w:val="0"/>
        <w:adjustRightInd w:val="0"/>
        <w:ind w:left="851"/>
        <w:jc w:val="both"/>
        <w:rPr>
          <w:rFonts w:ascii="Arial" w:eastAsiaTheme="minorHAnsi" w:hAnsi="Arial" w:cs="Arial"/>
          <w:b/>
          <w:bCs/>
          <w:sz w:val="16"/>
          <w:szCs w:val="16"/>
        </w:rPr>
      </w:pPr>
    </w:p>
    <w:p w14:paraId="795BEAA1" w14:textId="77777777" w:rsidR="007234EF" w:rsidRPr="00A153FB" w:rsidRDefault="00B90BDD" w:rsidP="00B3116E">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Equipment and leaseholds are stated at historical cost less accumulated depreciation and any provision for</w:t>
      </w:r>
      <w:r w:rsidR="00B3116E" w:rsidRPr="00A153FB">
        <w:rPr>
          <w:rFonts w:ascii="Arial" w:hAnsi="Arial" w:cs="Arial"/>
          <w:sz w:val="16"/>
          <w:szCs w:val="16"/>
        </w:rPr>
        <w:t xml:space="preserve"> </w:t>
      </w:r>
      <w:r w:rsidRPr="00A153FB">
        <w:rPr>
          <w:rFonts w:ascii="Arial" w:hAnsi="Arial" w:cs="Arial"/>
          <w:sz w:val="16"/>
          <w:szCs w:val="16"/>
        </w:rPr>
        <w:t>impairment in value. Cost includes the purchase price, any directly attributable costs of bringing the asset to</w:t>
      </w:r>
      <w:r w:rsidR="00B3116E" w:rsidRPr="00A153FB">
        <w:rPr>
          <w:rFonts w:ascii="Arial" w:hAnsi="Arial" w:cs="Arial"/>
          <w:sz w:val="16"/>
          <w:szCs w:val="16"/>
        </w:rPr>
        <w:t xml:space="preserve"> </w:t>
      </w:r>
      <w:r w:rsidRPr="00A153FB">
        <w:rPr>
          <w:rFonts w:ascii="Arial" w:hAnsi="Arial" w:cs="Arial"/>
          <w:sz w:val="16"/>
          <w:szCs w:val="16"/>
        </w:rPr>
        <w:t>the location and condition necessary for it to be capable of operating in the manner intended by management,</w:t>
      </w:r>
      <w:r w:rsidR="00B3116E" w:rsidRPr="00A153FB">
        <w:rPr>
          <w:rFonts w:ascii="Arial" w:hAnsi="Arial" w:cs="Arial"/>
          <w:sz w:val="16"/>
          <w:szCs w:val="16"/>
        </w:rPr>
        <w:t xml:space="preserve"> </w:t>
      </w:r>
      <w:r w:rsidRPr="00A153FB">
        <w:rPr>
          <w:rFonts w:ascii="Arial" w:hAnsi="Arial" w:cs="Arial"/>
          <w:sz w:val="16"/>
          <w:szCs w:val="16"/>
        </w:rPr>
        <w:t>and the present value of the estimated costs of decommissioning and restoration, if applicable. Costs relating</w:t>
      </w:r>
      <w:r w:rsidR="00B3116E" w:rsidRPr="00A153FB">
        <w:rPr>
          <w:rFonts w:ascii="Arial" w:hAnsi="Arial" w:cs="Arial"/>
          <w:sz w:val="16"/>
          <w:szCs w:val="16"/>
        </w:rPr>
        <w:t xml:space="preserve"> </w:t>
      </w:r>
      <w:r w:rsidRPr="00A153FB">
        <w:rPr>
          <w:rFonts w:ascii="Arial" w:hAnsi="Arial" w:cs="Arial"/>
          <w:sz w:val="16"/>
          <w:szCs w:val="16"/>
        </w:rPr>
        <w:t>to major upgrades are included in equipment and leaseholds if it is probable that future economic benefits</w:t>
      </w:r>
      <w:r w:rsidR="00B3116E" w:rsidRPr="00A153FB">
        <w:rPr>
          <w:rFonts w:ascii="Arial" w:hAnsi="Arial" w:cs="Arial"/>
          <w:sz w:val="16"/>
          <w:szCs w:val="16"/>
        </w:rPr>
        <w:t xml:space="preserve"> </w:t>
      </w:r>
      <w:r w:rsidRPr="00A153FB">
        <w:rPr>
          <w:rFonts w:ascii="Arial" w:hAnsi="Arial" w:cs="Arial"/>
          <w:sz w:val="16"/>
          <w:szCs w:val="16"/>
        </w:rPr>
        <w:t>associated with the expenditure will flow to the Corporation.</w:t>
      </w:r>
      <w:r w:rsidR="00B3116E" w:rsidRPr="00A153FB">
        <w:rPr>
          <w:rFonts w:ascii="Arial" w:hAnsi="Arial" w:cs="Arial"/>
          <w:sz w:val="16"/>
          <w:szCs w:val="16"/>
        </w:rPr>
        <w:t xml:space="preserve"> </w:t>
      </w:r>
    </w:p>
    <w:p w14:paraId="1291FA4C" w14:textId="77777777" w:rsidR="00FE5118" w:rsidRPr="00A153FB" w:rsidRDefault="00FE5118" w:rsidP="00B3116E">
      <w:pPr>
        <w:autoSpaceDE w:val="0"/>
        <w:autoSpaceDN w:val="0"/>
        <w:adjustRightInd w:val="0"/>
        <w:ind w:left="851" w:right="792"/>
        <w:jc w:val="both"/>
        <w:rPr>
          <w:rFonts w:ascii="Arial" w:hAnsi="Arial" w:cs="Arial"/>
          <w:sz w:val="16"/>
          <w:szCs w:val="16"/>
        </w:rPr>
      </w:pPr>
    </w:p>
    <w:p w14:paraId="2203313E" w14:textId="77777777" w:rsidR="00FE5118" w:rsidRPr="00A153FB" w:rsidRDefault="00FE5118" w:rsidP="00FE5118">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 xml:space="preserve">Depreciation on equipment is recognized on a declining balance basis to write down the cost or valuation less estimated residual value of equipment. Depreciation on leaseholds is recognized on the straight-line basis over the term of the lease, which is 5 years. The rates generally applicable are: </w:t>
      </w:r>
    </w:p>
    <w:p w14:paraId="6F84CA06" w14:textId="77777777" w:rsidR="00FE5118" w:rsidRPr="00A153FB" w:rsidRDefault="00FE5118" w:rsidP="00FE5118">
      <w:pPr>
        <w:autoSpaceDE w:val="0"/>
        <w:autoSpaceDN w:val="0"/>
        <w:adjustRightInd w:val="0"/>
        <w:ind w:left="851" w:right="792"/>
        <w:jc w:val="both"/>
        <w:rPr>
          <w:rFonts w:ascii="Arial" w:hAnsi="Arial" w:cs="Arial"/>
          <w:sz w:val="16"/>
          <w:szCs w:val="16"/>
        </w:rPr>
      </w:pPr>
    </w:p>
    <w:p w14:paraId="5447325A" w14:textId="77777777" w:rsidR="00FE5118" w:rsidRPr="00A153FB" w:rsidRDefault="00FE5118" w:rsidP="00FE5118">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Computer equipment</w:t>
      </w:r>
      <w:r w:rsidRPr="00A153FB">
        <w:rPr>
          <w:rFonts w:ascii="Arial" w:hAnsi="Arial" w:cs="Arial"/>
          <w:sz w:val="16"/>
          <w:szCs w:val="16"/>
        </w:rPr>
        <w:tab/>
      </w:r>
      <w:r w:rsidRPr="00A153FB">
        <w:rPr>
          <w:rFonts w:ascii="Arial" w:hAnsi="Arial" w:cs="Arial"/>
          <w:sz w:val="16"/>
          <w:szCs w:val="16"/>
        </w:rPr>
        <w:tab/>
        <w:t xml:space="preserve"> 30% </w:t>
      </w:r>
    </w:p>
    <w:p w14:paraId="4A638F5F" w14:textId="77777777" w:rsidR="00FE5118" w:rsidRPr="00A153FB" w:rsidRDefault="00FE5118" w:rsidP="00FE5118">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 xml:space="preserve">Vehicles </w:t>
      </w:r>
      <w:r w:rsidRPr="00A153FB">
        <w:rPr>
          <w:rFonts w:ascii="Arial" w:hAnsi="Arial" w:cs="Arial"/>
          <w:sz w:val="16"/>
          <w:szCs w:val="16"/>
        </w:rPr>
        <w:tab/>
      </w:r>
      <w:r w:rsidRPr="00A153FB">
        <w:rPr>
          <w:rFonts w:ascii="Arial" w:hAnsi="Arial" w:cs="Arial"/>
          <w:sz w:val="16"/>
          <w:szCs w:val="16"/>
        </w:rPr>
        <w:tab/>
      </w:r>
      <w:r w:rsidRPr="00A153FB">
        <w:rPr>
          <w:rFonts w:ascii="Arial" w:hAnsi="Arial" w:cs="Arial"/>
          <w:sz w:val="16"/>
          <w:szCs w:val="16"/>
        </w:rPr>
        <w:tab/>
        <w:t xml:space="preserve"> 30% </w:t>
      </w:r>
    </w:p>
    <w:p w14:paraId="687FFFD5" w14:textId="77777777" w:rsidR="00FE5118" w:rsidRPr="00A153FB" w:rsidRDefault="00FE5118" w:rsidP="00FE5118">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 xml:space="preserve">Leaseholds </w:t>
      </w:r>
      <w:r w:rsidRPr="00A153FB">
        <w:rPr>
          <w:rFonts w:ascii="Arial" w:hAnsi="Arial" w:cs="Arial"/>
          <w:sz w:val="16"/>
          <w:szCs w:val="16"/>
        </w:rPr>
        <w:tab/>
      </w:r>
      <w:r w:rsidRPr="00A153FB">
        <w:rPr>
          <w:rFonts w:ascii="Arial" w:hAnsi="Arial" w:cs="Arial"/>
          <w:sz w:val="16"/>
          <w:szCs w:val="16"/>
        </w:rPr>
        <w:tab/>
      </w:r>
      <w:r w:rsidRPr="00A153FB">
        <w:rPr>
          <w:rFonts w:ascii="Arial" w:hAnsi="Arial" w:cs="Arial"/>
          <w:sz w:val="16"/>
          <w:szCs w:val="16"/>
        </w:rPr>
        <w:tab/>
        <w:t xml:space="preserve"> Straight line over term</w:t>
      </w:r>
    </w:p>
    <w:p w14:paraId="118683CB" w14:textId="77777777" w:rsidR="00FE5118" w:rsidRPr="00A153FB" w:rsidRDefault="00FE5118" w:rsidP="00FE5118">
      <w:pPr>
        <w:autoSpaceDE w:val="0"/>
        <w:autoSpaceDN w:val="0"/>
        <w:adjustRightInd w:val="0"/>
        <w:ind w:left="851" w:right="792"/>
        <w:jc w:val="both"/>
        <w:rPr>
          <w:rFonts w:ascii="Arial" w:hAnsi="Arial" w:cs="Arial"/>
          <w:sz w:val="16"/>
          <w:szCs w:val="16"/>
        </w:rPr>
      </w:pPr>
    </w:p>
    <w:p w14:paraId="707ACE6C" w14:textId="77777777" w:rsidR="00FE5118" w:rsidRPr="00A153FB" w:rsidRDefault="00FE5118" w:rsidP="00FE5118">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Material residual value estimates and estimates of useful life are updated as required, but at least annually.</w:t>
      </w:r>
    </w:p>
    <w:p w14:paraId="324DF09C" w14:textId="77777777" w:rsidR="00FE5118" w:rsidRPr="00A153FB" w:rsidRDefault="00FE5118" w:rsidP="00FE5118">
      <w:pPr>
        <w:autoSpaceDE w:val="0"/>
        <w:autoSpaceDN w:val="0"/>
        <w:adjustRightInd w:val="0"/>
        <w:ind w:left="851" w:right="792"/>
        <w:jc w:val="both"/>
        <w:rPr>
          <w:rFonts w:ascii="Arial" w:hAnsi="Arial" w:cs="Arial"/>
          <w:sz w:val="16"/>
          <w:szCs w:val="16"/>
        </w:rPr>
      </w:pPr>
    </w:p>
    <w:p w14:paraId="73144F62" w14:textId="77777777" w:rsidR="00FE5118" w:rsidRPr="00A153FB" w:rsidRDefault="00FE5118" w:rsidP="00FE5118">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Gains or losses arising on the disposal of equipment are determined as the difference between the disposal proceeds and the carrying amount of the equipment and are recognized in profit or loss within 'other income' or ‘other expenses’.</w:t>
      </w:r>
    </w:p>
    <w:p w14:paraId="657ABAB2" w14:textId="77777777" w:rsidR="00FE5118" w:rsidRPr="00A153FB" w:rsidRDefault="00FE5118" w:rsidP="00FE5118">
      <w:pPr>
        <w:autoSpaceDE w:val="0"/>
        <w:autoSpaceDN w:val="0"/>
        <w:adjustRightInd w:val="0"/>
        <w:ind w:left="851" w:right="792"/>
        <w:jc w:val="both"/>
        <w:rPr>
          <w:rFonts w:ascii="Arial" w:hAnsi="Arial" w:cs="Arial"/>
          <w:sz w:val="16"/>
          <w:szCs w:val="16"/>
        </w:rPr>
      </w:pPr>
    </w:p>
    <w:p w14:paraId="014DF7FF" w14:textId="77777777" w:rsidR="00FE5118" w:rsidRPr="00A153FB" w:rsidRDefault="00FE5118" w:rsidP="00FE5118">
      <w:pPr>
        <w:autoSpaceDE w:val="0"/>
        <w:autoSpaceDN w:val="0"/>
        <w:adjustRightInd w:val="0"/>
        <w:ind w:left="851"/>
        <w:jc w:val="both"/>
        <w:rPr>
          <w:rFonts w:ascii="Arial" w:eastAsiaTheme="minorHAnsi" w:hAnsi="Arial" w:cs="Arial"/>
          <w:b/>
          <w:bCs/>
          <w:sz w:val="16"/>
          <w:szCs w:val="16"/>
        </w:rPr>
      </w:pPr>
      <w:r w:rsidRPr="00A153FB">
        <w:rPr>
          <w:rFonts w:ascii="Arial" w:eastAsiaTheme="minorHAnsi" w:hAnsi="Arial" w:cs="Arial"/>
          <w:b/>
          <w:bCs/>
          <w:sz w:val="16"/>
          <w:szCs w:val="16"/>
        </w:rPr>
        <w:t>Cash and cash equivalents</w:t>
      </w:r>
    </w:p>
    <w:p w14:paraId="3E84531C" w14:textId="77777777" w:rsidR="00A7016F" w:rsidRPr="00A153FB" w:rsidRDefault="00A7016F" w:rsidP="00A7016F">
      <w:pPr>
        <w:autoSpaceDE w:val="0"/>
        <w:autoSpaceDN w:val="0"/>
        <w:adjustRightInd w:val="0"/>
        <w:ind w:left="851"/>
        <w:jc w:val="both"/>
        <w:rPr>
          <w:rFonts w:ascii="Arial" w:hAnsi="Arial" w:cs="Arial"/>
          <w:sz w:val="16"/>
          <w:szCs w:val="16"/>
        </w:rPr>
      </w:pPr>
    </w:p>
    <w:p w14:paraId="6B314BF2" w14:textId="77777777" w:rsidR="00FE5118" w:rsidRPr="00A153FB" w:rsidRDefault="00FE5118" w:rsidP="00FE5118">
      <w:pPr>
        <w:autoSpaceDE w:val="0"/>
        <w:autoSpaceDN w:val="0"/>
        <w:adjustRightInd w:val="0"/>
        <w:ind w:left="851" w:right="792"/>
        <w:jc w:val="both"/>
        <w:rPr>
          <w:rFonts w:ascii="Arial" w:eastAsiaTheme="minorHAnsi" w:hAnsi="Arial" w:cs="Arial"/>
          <w:sz w:val="16"/>
          <w:szCs w:val="16"/>
        </w:rPr>
      </w:pPr>
      <w:r w:rsidRPr="00A153FB">
        <w:rPr>
          <w:rFonts w:ascii="Arial" w:hAnsi="Arial" w:cs="Arial"/>
          <w:sz w:val="16"/>
          <w:szCs w:val="16"/>
        </w:rPr>
        <w:t>Cash and cash equivalents comprise cash on hand and demand deposits, together with other short-term,</w:t>
      </w:r>
      <w:r w:rsidRPr="00A153FB">
        <w:rPr>
          <w:rFonts w:ascii="Arial" w:eastAsiaTheme="minorHAnsi" w:hAnsi="Arial" w:cs="Arial"/>
          <w:sz w:val="16"/>
          <w:szCs w:val="16"/>
        </w:rPr>
        <w:t xml:space="preserve"> </w:t>
      </w:r>
      <w:r w:rsidRPr="00A153FB">
        <w:rPr>
          <w:rFonts w:ascii="Arial" w:hAnsi="Arial" w:cs="Arial"/>
          <w:sz w:val="16"/>
          <w:szCs w:val="16"/>
        </w:rPr>
        <w:t xml:space="preserve">highly liquid investments that are readily convertible into known amounts of </w:t>
      </w:r>
      <w:proofErr w:type="gramStart"/>
      <w:r w:rsidRPr="00A153FB">
        <w:rPr>
          <w:rFonts w:ascii="Arial" w:hAnsi="Arial" w:cs="Arial"/>
          <w:sz w:val="16"/>
          <w:szCs w:val="16"/>
        </w:rPr>
        <w:t>cash</w:t>
      </w:r>
      <w:proofErr w:type="gramEnd"/>
      <w:r w:rsidRPr="00A153FB">
        <w:rPr>
          <w:rFonts w:ascii="Arial" w:hAnsi="Arial" w:cs="Arial"/>
          <w:sz w:val="16"/>
          <w:szCs w:val="16"/>
        </w:rPr>
        <w:t xml:space="preserve"> and which are subject to an</w:t>
      </w:r>
      <w:r w:rsidRPr="00A153FB">
        <w:rPr>
          <w:rFonts w:ascii="Arial" w:eastAsiaTheme="minorHAnsi" w:hAnsi="Arial" w:cs="Arial"/>
          <w:sz w:val="16"/>
          <w:szCs w:val="16"/>
        </w:rPr>
        <w:t xml:space="preserve"> </w:t>
      </w:r>
      <w:r w:rsidRPr="00A153FB">
        <w:rPr>
          <w:rFonts w:ascii="Arial" w:hAnsi="Arial" w:cs="Arial"/>
          <w:sz w:val="16"/>
          <w:szCs w:val="16"/>
        </w:rPr>
        <w:t>insignificant risk of changes in value.</w:t>
      </w:r>
    </w:p>
    <w:p w14:paraId="75753FBF" w14:textId="77777777" w:rsidR="00A7016F" w:rsidRPr="00A153FB" w:rsidRDefault="00A7016F" w:rsidP="00A7016F">
      <w:pPr>
        <w:autoSpaceDE w:val="0"/>
        <w:autoSpaceDN w:val="0"/>
        <w:adjustRightInd w:val="0"/>
        <w:ind w:left="851"/>
        <w:jc w:val="both"/>
        <w:rPr>
          <w:rFonts w:ascii="Arial" w:hAnsi="Arial" w:cs="Arial"/>
          <w:sz w:val="16"/>
          <w:szCs w:val="16"/>
        </w:rPr>
      </w:pPr>
    </w:p>
    <w:p w14:paraId="24E05487" w14:textId="65DDC8D2" w:rsidR="005130BF" w:rsidRPr="00A153FB" w:rsidRDefault="005130BF" w:rsidP="001579EB">
      <w:pPr>
        <w:autoSpaceDE w:val="0"/>
        <w:autoSpaceDN w:val="0"/>
        <w:adjustRightInd w:val="0"/>
        <w:ind w:left="851"/>
        <w:jc w:val="both"/>
        <w:rPr>
          <w:rFonts w:ascii="Arial" w:eastAsiaTheme="minorHAnsi" w:hAnsi="Arial" w:cs="Arial"/>
          <w:b/>
          <w:bCs/>
          <w:sz w:val="16"/>
          <w:szCs w:val="16"/>
        </w:rPr>
      </w:pPr>
      <w:r w:rsidRPr="00A153FB">
        <w:rPr>
          <w:rFonts w:ascii="Arial" w:eastAsiaTheme="minorHAnsi" w:hAnsi="Arial" w:cs="Arial"/>
          <w:b/>
          <w:bCs/>
          <w:sz w:val="16"/>
          <w:szCs w:val="16"/>
        </w:rPr>
        <w:t>Impairment of non-financial assets</w:t>
      </w:r>
    </w:p>
    <w:p w14:paraId="2E1B75C7" w14:textId="77777777" w:rsidR="00A7016F" w:rsidRPr="00A153FB" w:rsidRDefault="00A7016F" w:rsidP="00A7016F">
      <w:pPr>
        <w:autoSpaceDE w:val="0"/>
        <w:autoSpaceDN w:val="0"/>
        <w:adjustRightInd w:val="0"/>
        <w:ind w:left="851"/>
        <w:jc w:val="both"/>
        <w:rPr>
          <w:rFonts w:ascii="Arial" w:hAnsi="Arial" w:cs="Arial"/>
          <w:sz w:val="16"/>
          <w:szCs w:val="16"/>
        </w:rPr>
      </w:pPr>
    </w:p>
    <w:p w14:paraId="1771C1E7" w14:textId="22FC88A8" w:rsidR="005130BF" w:rsidRPr="001579EB" w:rsidRDefault="005130BF" w:rsidP="007B7DE5">
      <w:pPr>
        <w:autoSpaceDE w:val="0"/>
        <w:autoSpaceDN w:val="0"/>
        <w:adjustRightInd w:val="0"/>
        <w:ind w:left="851" w:right="792"/>
        <w:jc w:val="both"/>
        <w:rPr>
          <w:rFonts w:ascii="Arial" w:hAnsi="Arial" w:cs="Arial"/>
          <w:sz w:val="16"/>
          <w:szCs w:val="16"/>
        </w:rPr>
      </w:pPr>
      <w:r w:rsidRPr="001579EB">
        <w:rPr>
          <w:rFonts w:ascii="Arial" w:hAnsi="Arial" w:cs="Arial"/>
          <w:sz w:val="16"/>
          <w:szCs w:val="16"/>
        </w:rPr>
        <w:t xml:space="preserve">At each financial position reporting </w:t>
      </w:r>
      <w:r w:rsidR="007C2825" w:rsidRPr="001579EB">
        <w:rPr>
          <w:rFonts w:ascii="Arial" w:hAnsi="Arial" w:cs="Arial"/>
          <w:sz w:val="16"/>
          <w:szCs w:val="16"/>
        </w:rPr>
        <w:t>date,</w:t>
      </w:r>
      <w:r w:rsidRPr="001579EB">
        <w:rPr>
          <w:rFonts w:ascii="Arial" w:hAnsi="Arial" w:cs="Arial"/>
          <w:sz w:val="16"/>
          <w:szCs w:val="16"/>
        </w:rPr>
        <w:t xml:space="preserve"> the carrying amounts of the Corporation's non-financial assets are</w:t>
      </w:r>
      <w:r w:rsidR="007B7DE5">
        <w:rPr>
          <w:rFonts w:ascii="Arial" w:hAnsi="Arial" w:cs="Arial"/>
          <w:sz w:val="16"/>
          <w:szCs w:val="16"/>
        </w:rPr>
        <w:t xml:space="preserve"> </w:t>
      </w:r>
      <w:r w:rsidRPr="001579EB">
        <w:rPr>
          <w:rFonts w:ascii="Arial" w:hAnsi="Arial" w:cs="Arial"/>
          <w:sz w:val="16"/>
          <w:szCs w:val="16"/>
        </w:rPr>
        <w:t>reviewed to determine whether there is any indication that those assets are impaired. If any such indication</w:t>
      </w:r>
      <w:r w:rsidR="007B7DE5">
        <w:rPr>
          <w:rFonts w:ascii="Arial" w:hAnsi="Arial" w:cs="Arial"/>
          <w:sz w:val="16"/>
          <w:szCs w:val="16"/>
        </w:rPr>
        <w:t xml:space="preserve"> </w:t>
      </w:r>
      <w:r w:rsidRPr="001579EB">
        <w:rPr>
          <w:rFonts w:ascii="Arial" w:hAnsi="Arial" w:cs="Arial"/>
          <w:sz w:val="16"/>
          <w:szCs w:val="16"/>
        </w:rPr>
        <w:t>exists, the recoverable amount of the asset is estimated in order to determine the extent of the impairment, if</w:t>
      </w:r>
      <w:r w:rsidR="007B7DE5">
        <w:rPr>
          <w:rFonts w:ascii="Arial" w:hAnsi="Arial" w:cs="Arial"/>
          <w:sz w:val="16"/>
          <w:szCs w:val="16"/>
        </w:rPr>
        <w:t xml:space="preserve"> </w:t>
      </w:r>
      <w:r w:rsidRPr="001579EB">
        <w:rPr>
          <w:rFonts w:ascii="Arial" w:hAnsi="Arial" w:cs="Arial"/>
          <w:sz w:val="16"/>
          <w:szCs w:val="16"/>
        </w:rPr>
        <w:t>any. The recoverable amount is the higher of fair value less costs to sell and value in use. Fair value is</w:t>
      </w:r>
      <w:r w:rsidR="007B7DE5">
        <w:rPr>
          <w:rFonts w:ascii="Arial" w:hAnsi="Arial" w:cs="Arial"/>
          <w:sz w:val="16"/>
          <w:szCs w:val="16"/>
        </w:rPr>
        <w:t xml:space="preserve"> </w:t>
      </w:r>
      <w:r w:rsidRPr="001579EB">
        <w:rPr>
          <w:rFonts w:ascii="Arial" w:hAnsi="Arial" w:cs="Arial"/>
          <w:sz w:val="16"/>
          <w:szCs w:val="16"/>
        </w:rPr>
        <w:t>determined as the amount that would be obtained from the sale of the asset in an arm's length transaction</w:t>
      </w:r>
      <w:r w:rsidR="007B7DE5">
        <w:rPr>
          <w:rFonts w:ascii="Arial" w:hAnsi="Arial" w:cs="Arial"/>
          <w:sz w:val="16"/>
          <w:szCs w:val="16"/>
        </w:rPr>
        <w:t xml:space="preserve"> </w:t>
      </w:r>
      <w:r w:rsidRPr="001579EB">
        <w:rPr>
          <w:rFonts w:ascii="Arial" w:hAnsi="Arial" w:cs="Arial"/>
          <w:sz w:val="16"/>
          <w:szCs w:val="16"/>
        </w:rPr>
        <w:t>between knowledgeable and willing parties. In assessing value in use, the estimated future cash flows are</w:t>
      </w:r>
      <w:r w:rsidR="007B7DE5">
        <w:rPr>
          <w:rFonts w:ascii="Arial" w:hAnsi="Arial" w:cs="Arial"/>
          <w:sz w:val="16"/>
          <w:szCs w:val="16"/>
        </w:rPr>
        <w:t xml:space="preserve"> </w:t>
      </w:r>
      <w:r w:rsidRPr="001579EB">
        <w:rPr>
          <w:rFonts w:ascii="Arial" w:hAnsi="Arial" w:cs="Arial"/>
          <w:sz w:val="16"/>
          <w:szCs w:val="16"/>
        </w:rPr>
        <w:t>discounted to their present value using a pre-tax discount rate that reflects current market assessments of the</w:t>
      </w:r>
      <w:r w:rsidR="007B7DE5">
        <w:rPr>
          <w:rFonts w:ascii="Arial" w:hAnsi="Arial" w:cs="Arial"/>
          <w:sz w:val="16"/>
          <w:szCs w:val="16"/>
        </w:rPr>
        <w:t xml:space="preserve"> </w:t>
      </w:r>
      <w:r w:rsidRPr="001579EB">
        <w:rPr>
          <w:rFonts w:ascii="Arial" w:hAnsi="Arial" w:cs="Arial"/>
          <w:sz w:val="16"/>
          <w:szCs w:val="16"/>
        </w:rPr>
        <w:t>time value of money and the risks specific to the asset. If the recoverable amount of an asset is estimated to</w:t>
      </w:r>
      <w:r w:rsidR="007B7DE5">
        <w:rPr>
          <w:rFonts w:ascii="Arial" w:hAnsi="Arial" w:cs="Arial"/>
          <w:sz w:val="16"/>
          <w:szCs w:val="16"/>
        </w:rPr>
        <w:t xml:space="preserve"> </w:t>
      </w:r>
      <w:r w:rsidRPr="001579EB">
        <w:rPr>
          <w:rFonts w:ascii="Arial" w:hAnsi="Arial" w:cs="Arial"/>
          <w:sz w:val="16"/>
          <w:szCs w:val="16"/>
        </w:rPr>
        <w:t xml:space="preserve">be less than </w:t>
      </w:r>
      <w:proofErr w:type="gramStart"/>
      <w:r w:rsidRPr="001579EB">
        <w:rPr>
          <w:rFonts w:ascii="Arial" w:hAnsi="Arial" w:cs="Arial"/>
          <w:sz w:val="16"/>
          <w:szCs w:val="16"/>
        </w:rPr>
        <w:t>its</w:t>
      </w:r>
      <w:proofErr w:type="gramEnd"/>
      <w:r w:rsidRPr="001579EB">
        <w:rPr>
          <w:rFonts w:ascii="Arial" w:hAnsi="Arial" w:cs="Arial"/>
          <w:sz w:val="16"/>
          <w:szCs w:val="16"/>
        </w:rPr>
        <w:t xml:space="preserve"> carrying amount, the carrying amount of the asset is reduced to its recoverable amount and the</w:t>
      </w:r>
      <w:r w:rsidR="007B7DE5">
        <w:rPr>
          <w:rFonts w:ascii="Arial" w:hAnsi="Arial" w:cs="Arial"/>
          <w:sz w:val="16"/>
          <w:szCs w:val="16"/>
        </w:rPr>
        <w:t xml:space="preserve"> </w:t>
      </w:r>
      <w:r w:rsidRPr="001579EB">
        <w:rPr>
          <w:rFonts w:ascii="Arial" w:hAnsi="Arial" w:cs="Arial"/>
          <w:sz w:val="16"/>
          <w:szCs w:val="16"/>
        </w:rPr>
        <w:t>impairment loss is recognized in the profit or loss for the period. For an asset that does not generate largely</w:t>
      </w:r>
      <w:r w:rsidR="007B7DE5">
        <w:rPr>
          <w:rFonts w:ascii="Arial" w:hAnsi="Arial" w:cs="Arial"/>
          <w:sz w:val="16"/>
          <w:szCs w:val="16"/>
        </w:rPr>
        <w:t xml:space="preserve"> </w:t>
      </w:r>
      <w:r w:rsidRPr="001579EB">
        <w:rPr>
          <w:rFonts w:ascii="Arial" w:hAnsi="Arial" w:cs="Arial"/>
          <w:sz w:val="16"/>
          <w:szCs w:val="16"/>
        </w:rPr>
        <w:t>independent cash inflows, the recoverable amount is determined for the cash generating unit to which the assets belong.</w:t>
      </w:r>
    </w:p>
    <w:p w14:paraId="5D72DB67" w14:textId="77777777" w:rsidR="00033D76" w:rsidRPr="00A153FB" w:rsidRDefault="00033D76" w:rsidP="00033D76">
      <w:pPr>
        <w:autoSpaceDE w:val="0"/>
        <w:autoSpaceDN w:val="0"/>
        <w:adjustRightInd w:val="0"/>
        <w:ind w:left="851" w:right="792"/>
        <w:jc w:val="both"/>
        <w:rPr>
          <w:rFonts w:ascii="Arial" w:hAnsi="Arial" w:cs="Arial"/>
          <w:sz w:val="16"/>
          <w:szCs w:val="16"/>
        </w:rPr>
      </w:pPr>
    </w:p>
    <w:p w14:paraId="298D230C" w14:textId="4E3DC4AC" w:rsidR="005130BF" w:rsidRDefault="005130BF" w:rsidP="007B7DE5">
      <w:pPr>
        <w:autoSpaceDE w:val="0"/>
        <w:autoSpaceDN w:val="0"/>
        <w:adjustRightInd w:val="0"/>
        <w:ind w:left="851" w:right="792"/>
        <w:jc w:val="both"/>
        <w:rPr>
          <w:rFonts w:ascii="Arial" w:hAnsi="Arial" w:cs="Arial"/>
          <w:sz w:val="16"/>
          <w:szCs w:val="16"/>
        </w:rPr>
      </w:pPr>
      <w:r w:rsidRPr="001579EB">
        <w:rPr>
          <w:rFonts w:ascii="Arial" w:hAnsi="Arial" w:cs="Arial"/>
          <w:sz w:val="16"/>
          <w:szCs w:val="16"/>
        </w:rPr>
        <w:t>When an impairment loss subsequently reverses, the carrying amount of the asset (or cash-generating unit) is</w:t>
      </w:r>
      <w:r w:rsidR="007B7DE5">
        <w:rPr>
          <w:rFonts w:ascii="Arial" w:hAnsi="Arial" w:cs="Arial"/>
          <w:sz w:val="16"/>
          <w:szCs w:val="16"/>
        </w:rPr>
        <w:t xml:space="preserve"> </w:t>
      </w:r>
      <w:r w:rsidRPr="001579EB">
        <w:rPr>
          <w:rFonts w:ascii="Arial" w:hAnsi="Arial" w:cs="Arial"/>
          <w:sz w:val="16"/>
          <w:szCs w:val="16"/>
        </w:rPr>
        <w:t>increased to the revised estimate of its recoverable amount, but so that the increased carrying amount does</w:t>
      </w:r>
      <w:r w:rsidR="007B7DE5">
        <w:rPr>
          <w:rFonts w:ascii="Arial" w:hAnsi="Arial" w:cs="Arial"/>
          <w:sz w:val="16"/>
          <w:szCs w:val="16"/>
        </w:rPr>
        <w:t xml:space="preserve"> </w:t>
      </w:r>
      <w:r w:rsidRPr="001579EB">
        <w:rPr>
          <w:rFonts w:ascii="Arial" w:hAnsi="Arial" w:cs="Arial"/>
          <w:sz w:val="16"/>
          <w:szCs w:val="16"/>
        </w:rPr>
        <w:t>not exceed the carrying amount that would have been determined had no impairment loss been recognized for</w:t>
      </w:r>
      <w:r w:rsidR="007B7DE5">
        <w:rPr>
          <w:rFonts w:ascii="Arial" w:hAnsi="Arial" w:cs="Arial"/>
          <w:sz w:val="16"/>
          <w:szCs w:val="16"/>
        </w:rPr>
        <w:t xml:space="preserve"> </w:t>
      </w:r>
      <w:r w:rsidRPr="001579EB">
        <w:rPr>
          <w:rFonts w:ascii="Arial" w:hAnsi="Arial" w:cs="Arial"/>
          <w:sz w:val="16"/>
          <w:szCs w:val="16"/>
        </w:rPr>
        <w:t>the asset (or cash-generating unit) in prior years. A reversal of an impairment loss is recognized immediately</w:t>
      </w:r>
      <w:r w:rsidR="007B7DE5">
        <w:rPr>
          <w:rFonts w:ascii="Arial" w:hAnsi="Arial" w:cs="Arial"/>
          <w:sz w:val="16"/>
          <w:szCs w:val="16"/>
        </w:rPr>
        <w:t xml:space="preserve"> </w:t>
      </w:r>
      <w:r w:rsidRPr="001579EB">
        <w:rPr>
          <w:rFonts w:ascii="Arial" w:hAnsi="Arial" w:cs="Arial"/>
          <w:sz w:val="16"/>
          <w:szCs w:val="16"/>
        </w:rPr>
        <w:t>in profit or loss.</w:t>
      </w:r>
    </w:p>
    <w:p w14:paraId="2788AB41" w14:textId="77777777" w:rsidR="007B7DE5" w:rsidRPr="001579EB" w:rsidRDefault="007B7DE5" w:rsidP="001579EB">
      <w:pPr>
        <w:autoSpaceDE w:val="0"/>
        <w:autoSpaceDN w:val="0"/>
        <w:adjustRightInd w:val="0"/>
        <w:ind w:left="851" w:right="792"/>
        <w:jc w:val="both"/>
        <w:rPr>
          <w:rFonts w:ascii="Arial" w:hAnsi="Arial" w:cs="Arial"/>
          <w:sz w:val="16"/>
          <w:szCs w:val="16"/>
        </w:rPr>
      </w:pPr>
    </w:p>
    <w:p w14:paraId="19B1BB58" w14:textId="77777777" w:rsidR="001F1E3D" w:rsidRDefault="001F1E3D">
      <w:pPr>
        <w:widowControl w:val="0"/>
        <w:autoSpaceDE w:val="0"/>
        <w:autoSpaceDN w:val="0"/>
        <w:rPr>
          <w:rFonts w:ascii="Arial" w:eastAsiaTheme="minorHAnsi" w:hAnsi="Arial" w:cs="Arial"/>
          <w:b/>
          <w:bCs/>
          <w:color w:val="000000" w:themeColor="text1"/>
          <w:sz w:val="16"/>
          <w:szCs w:val="16"/>
        </w:rPr>
      </w:pPr>
      <w:r>
        <w:rPr>
          <w:rFonts w:ascii="Arial" w:eastAsiaTheme="minorHAnsi" w:hAnsi="Arial" w:cs="Arial"/>
          <w:b/>
          <w:bCs/>
          <w:color w:val="000000" w:themeColor="text1"/>
          <w:sz w:val="16"/>
          <w:szCs w:val="16"/>
        </w:rPr>
        <w:br w:type="page"/>
      </w:r>
    </w:p>
    <w:p w14:paraId="60B6252E" w14:textId="77777777" w:rsidR="001F1E3D" w:rsidRDefault="001F1E3D" w:rsidP="001579EB">
      <w:pPr>
        <w:autoSpaceDE w:val="0"/>
        <w:autoSpaceDN w:val="0"/>
        <w:adjustRightInd w:val="0"/>
        <w:ind w:left="851"/>
        <w:jc w:val="both"/>
        <w:rPr>
          <w:rFonts w:ascii="Arial" w:eastAsiaTheme="minorHAnsi" w:hAnsi="Arial" w:cs="Arial"/>
          <w:b/>
          <w:bCs/>
          <w:color w:val="000000" w:themeColor="text1"/>
          <w:sz w:val="16"/>
          <w:szCs w:val="16"/>
        </w:rPr>
      </w:pPr>
    </w:p>
    <w:p w14:paraId="3B7D3E5C" w14:textId="77777777" w:rsidR="001F1E3D" w:rsidRDefault="001F1E3D" w:rsidP="001579EB">
      <w:pPr>
        <w:autoSpaceDE w:val="0"/>
        <w:autoSpaceDN w:val="0"/>
        <w:adjustRightInd w:val="0"/>
        <w:ind w:left="851"/>
        <w:jc w:val="both"/>
        <w:rPr>
          <w:rFonts w:ascii="Arial" w:eastAsiaTheme="minorHAnsi" w:hAnsi="Arial" w:cs="Arial"/>
          <w:b/>
          <w:bCs/>
          <w:color w:val="000000" w:themeColor="text1"/>
          <w:sz w:val="16"/>
          <w:szCs w:val="16"/>
        </w:rPr>
      </w:pPr>
    </w:p>
    <w:p w14:paraId="26864FA3" w14:textId="34444E51" w:rsidR="005130BF" w:rsidRPr="00A153FB" w:rsidRDefault="005130BF" w:rsidP="001579EB">
      <w:pPr>
        <w:autoSpaceDE w:val="0"/>
        <w:autoSpaceDN w:val="0"/>
        <w:adjustRightInd w:val="0"/>
        <w:ind w:left="851"/>
        <w:jc w:val="both"/>
        <w:rPr>
          <w:rFonts w:ascii="Arial" w:eastAsiaTheme="minorHAnsi" w:hAnsi="Arial" w:cs="Arial"/>
          <w:b/>
          <w:bCs/>
          <w:color w:val="000000" w:themeColor="text1"/>
          <w:sz w:val="16"/>
          <w:szCs w:val="16"/>
        </w:rPr>
      </w:pPr>
      <w:r w:rsidRPr="00A153FB">
        <w:rPr>
          <w:rFonts w:ascii="Arial" w:eastAsiaTheme="minorHAnsi" w:hAnsi="Arial" w:cs="Arial"/>
          <w:b/>
          <w:bCs/>
          <w:color w:val="000000" w:themeColor="text1"/>
          <w:sz w:val="16"/>
          <w:szCs w:val="16"/>
        </w:rPr>
        <w:t>Share capital</w:t>
      </w:r>
    </w:p>
    <w:p w14:paraId="172D3650" w14:textId="77777777" w:rsidR="00A035EC" w:rsidRDefault="00A035EC" w:rsidP="00601484">
      <w:pPr>
        <w:autoSpaceDE w:val="0"/>
        <w:autoSpaceDN w:val="0"/>
        <w:adjustRightInd w:val="0"/>
        <w:ind w:left="851" w:right="792"/>
        <w:jc w:val="both"/>
        <w:rPr>
          <w:rFonts w:ascii="Arial" w:hAnsi="Arial" w:cs="Arial"/>
          <w:sz w:val="16"/>
          <w:szCs w:val="16"/>
        </w:rPr>
      </w:pPr>
    </w:p>
    <w:p w14:paraId="2196B984" w14:textId="13F2B5FB" w:rsidR="00AE2C97" w:rsidRDefault="005130BF" w:rsidP="00DB7B50">
      <w:pPr>
        <w:autoSpaceDE w:val="0"/>
        <w:autoSpaceDN w:val="0"/>
        <w:adjustRightInd w:val="0"/>
        <w:ind w:left="851" w:right="792"/>
        <w:jc w:val="both"/>
        <w:rPr>
          <w:rFonts w:ascii="Arial" w:hAnsi="Arial" w:cs="Arial"/>
          <w:sz w:val="16"/>
          <w:szCs w:val="16"/>
        </w:rPr>
      </w:pPr>
      <w:r w:rsidRPr="001579EB">
        <w:rPr>
          <w:rFonts w:ascii="Arial" w:hAnsi="Arial" w:cs="Arial"/>
          <w:sz w:val="16"/>
          <w:szCs w:val="16"/>
        </w:rPr>
        <w:t>Share capital represents the fair value of consideration received. Equity instruments are contracts that give a</w:t>
      </w:r>
      <w:r w:rsidR="007B7DE5">
        <w:rPr>
          <w:rFonts w:ascii="Arial" w:hAnsi="Arial" w:cs="Arial"/>
          <w:sz w:val="16"/>
          <w:szCs w:val="16"/>
        </w:rPr>
        <w:t xml:space="preserve"> </w:t>
      </w:r>
      <w:r w:rsidRPr="001579EB">
        <w:rPr>
          <w:rFonts w:ascii="Arial" w:hAnsi="Arial" w:cs="Arial"/>
          <w:sz w:val="16"/>
          <w:szCs w:val="16"/>
        </w:rPr>
        <w:t>residual interest in the net assets of the Corporation. Financial instruments issued by the Corporation are</w:t>
      </w:r>
      <w:r w:rsidR="007B7DE5">
        <w:rPr>
          <w:rFonts w:ascii="Arial" w:hAnsi="Arial" w:cs="Arial"/>
          <w:sz w:val="16"/>
          <w:szCs w:val="16"/>
        </w:rPr>
        <w:t xml:space="preserve"> </w:t>
      </w:r>
      <w:r w:rsidRPr="001579EB">
        <w:rPr>
          <w:rFonts w:ascii="Arial" w:hAnsi="Arial" w:cs="Arial"/>
          <w:sz w:val="16"/>
          <w:szCs w:val="16"/>
        </w:rPr>
        <w:t xml:space="preserve">classified </w:t>
      </w:r>
      <w:r w:rsidR="00AE2C97" w:rsidRPr="001579EB">
        <w:rPr>
          <w:rFonts w:ascii="Arial" w:hAnsi="Arial" w:cs="Arial"/>
          <w:sz w:val="16"/>
          <w:szCs w:val="16"/>
        </w:rPr>
        <w:t xml:space="preserve">as equity only to the extent that they do not meet the definition of a financial liability or financial </w:t>
      </w:r>
      <w:r w:rsidR="00351052" w:rsidRPr="001579EB">
        <w:rPr>
          <w:rFonts w:ascii="Arial" w:hAnsi="Arial" w:cs="Arial"/>
          <w:sz w:val="16"/>
          <w:szCs w:val="16"/>
        </w:rPr>
        <w:t>asset. The</w:t>
      </w:r>
      <w:r w:rsidR="00AE2C97" w:rsidRPr="001579EB">
        <w:rPr>
          <w:rFonts w:ascii="Arial" w:hAnsi="Arial" w:cs="Arial"/>
          <w:sz w:val="16"/>
          <w:szCs w:val="16"/>
        </w:rPr>
        <w:t xml:space="preserve"> Corporation’s common shares, reserves, share options and share warrants are classified as equity</w:t>
      </w:r>
      <w:r w:rsidR="00AE2C97">
        <w:rPr>
          <w:rFonts w:ascii="Arial" w:hAnsi="Arial" w:cs="Arial"/>
          <w:sz w:val="16"/>
          <w:szCs w:val="16"/>
        </w:rPr>
        <w:t xml:space="preserve"> </w:t>
      </w:r>
      <w:r w:rsidR="00AE2C97" w:rsidRPr="001579EB">
        <w:rPr>
          <w:rFonts w:ascii="Arial" w:hAnsi="Arial" w:cs="Arial"/>
          <w:sz w:val="16"/>
          <w:szCs w:val="16"/>
        </w:rPr>
        <w:t xml:space="preserve">instruments. </w:t>
      </w:r>
    </w:p>
    <w:p w14:paraId="1CE748F0" w14:textId="77777777" w:rsidR="004B0918" w:rsidRDefault="004B0918" w:rsidP="00AE2C97">
      <w:pPr>
        <w:autoSpaceDE w:val="0"/>
        <w:autoSpaceDN w:val="0"/>
        <w:adjustRightInd w:val="0"/>
        <w:ind w:right="792"/>
        <w:jc w:val="both"/>
        <w:rPr>
          <w:rFonts w:ascii="Arial" w:hAnsi="Arial" w:cs="Arial"/>
          <w:sz w:val="16"/>
          <w:szCs w:val="16"/>
        </w:rPr>
      </w:pPr>
    </w:p>
    <w:p w14:paraId="24847616" w14:textId="04391500" w:rsidR="005130BF" w:rsidRPr="001579EB" w:rsidRDefault="005130BF" w:rsidP="00601484">
      <w:pPr>
        <w:autoSpaceDE w:val="0"/>
        <w:autoSpaceDN w:val="0"/>
        <w:adjustRightInd w:val="0"/>
        <w:ind w:left="851" w:right="792"/>
        <w:jc w:val="both"/>
        <w:rPr>
          <w:rFonts w:ascii="Arial" w:hAnsi="Arial" w:cs="Arial"/>
          <w:sz w:val="16"/>
          <w:szCs w:val="16"/>
        </w:rPr>
      </w:pPr>
      <w:r w:rsidRPr="001579EB">
        <w:rPr>
          <w:rFonts w:ascii="Arial" w:hAnsi="Arial" w:cs="Arial"/>
          <w:sz w:val="16"/>
          <w:szCs w:val="16"/>
        </w:rPr>
        <w:t>Incremental costs directly attributable to the issue of new shares, options or warrants are shown in</w:t>
      </w:r>
      <w:r w:rsidR="007B7DE5">
        <w:rPr>
          <w:rFonts w:ascii="Arial" w:hAnsi="Arial" w:cs="Arial"/>
          <w:sz w:val="16"/>
          <w:szCs w:val="16"/>
        </w:rPr>
        <w:t xml:space="preserve"> </w:t>
      </w:r>
      <w:r w:rsidRPr="001579EB">
        <w:rPr>
          <w:rFonts w:ascii="Arial" w:hAnsi="Arial" w:cs="Arial"/>
          <w:sz w:val="16"/>
          <w:szCs w:val="16"/>
        </w:rPr>
        <w:t>equity as a deduction, net of tax, from the proceeds.</w:t>
      </w:r>
    </w:p>
    <w:p w14:paraId="4708F8EE" w14:textId="77777777" w:rsidR="007B7DE5" w:rsidRDefault="007B7DE5" w:rsidP="001579EB">
      <w:pPr>
        <w:autoSpaceDE w:val="0"/>
        <w:autoSpaceDN w:val="0"/>
        <w:adjustRightInd w:val="0"/>
        <w:ind w:left="851" w:right="792"/>
        <w:jc w:val="both"/>
        <w:rPr>
          <w:rFonts w:ascii="Arial" w:hAnsi="Arial" w:cs="Arial"/>
          <w:sz w:val="16"/>
          <w:szCs w:val="16"/>
        </w:rPr>
      </w:pPr>
    </w:p>
    <w:p w14:paraId="231BB07B" w14:textId="2F56E315" w:rsidR="005130BF" w:rsidRPr="001579EB" w:rsidRDefault="005130BF" w:rsidP="00FE5118">
      <w:pPr>
        <w:autoSpaceDE w:val="0"/>
        <w:autoSpaceDN w:val="0"/>
        <w:adjustRightInd w:val="0"/>
        <w:ind w:left="851" w:right="792"/>
        <w:jc w:val="both"/>
        <w:rPr>
          <w:rFonts w:ascii="Arial" w:hAnsi="Arial" w:cs="Arial"/>
          <w:sz w:val="16"/>
          <w:szCs w:val="16"/>
        </w:rPr>
      </w:pPr>
      <w:r w:rsidRPr="001579EB">
        <w:rPr>
          <w:rFonts w:ascii="Arial" w:hAnsi="Arial" w:cs="Arial"/>
          <w:sz w:val="16"/>
          <w:szCs w:val="16"/>
        </w:rPr>
        <w:t xml:space="preserve">The Corporation periodically issues units to investors consisting of common shares and warrants in </w:t>
      </w:r>
      <w:r w:rsidR="004565BA" w:rsidRPr="001579EB">
        <w:rPr>
          <w:rFonts w:ascii="Arial" w:hAnsi="Arial" w:cs="Arial"/>
          <w:sz w:val="16"/>
          <w:szCs w:val="16"/>
        </w:rPr>
        <w:t>non-brokered</w:t>
      </w:r>
      <w:r w:rsidR="00DB7B50">
        <w:rPr>
          <w:rFonts w:ascii="Arial" w:hAnsi="Arial" w:cs="Arial"/>
          <w:sz w:val="16"/>
          <w:szCs w:val="16"/>
        </w:rPr>
        <w:t xml:space="preserve"> </w:t>
      </w:r>
      <w:r w:rsidRPr="001579EB">
        <w:rPr>
          <w:rFonts w:ascii="Arial" w:hAnsi="Arial" w:cs="Arial"/>
          <w:sz w:val="16"/>
          <w:szCs w:val="16"/>
        </w:rPr>
        <w:t>private placements. Each whole warrant issued entitles the holder to acquire a common share of the</w:t>
      </w:r>
      <w:r w:rsidR="007B7DE5">
        <w:rPr>
          <w:rFonts w:ascii="Arial" w:hAnsi="Arial" w:cs="Arial"/>
          <w:sz w:val="16"/>
          <w:szCs w:val="16"/>
        </w:rPr>
        <w:t xml:space="preserve"> </w:t>
      </w:r>
      <w:r w:rsidRPr="001579EB">
        <w:rPr>
          <w:rFonts w:ascii="Arial" w:hAnsi="Arial" w:cs="Arial"/>
          <w:sz w:val="16"/>
          <w:szCs w:val="16"/>
        </w:rPr>
        <w:t>Corporation, at a fixed Canadian dollar price over a specified term. These warrants are not transferable from</w:t>
      </w:r>
      <w:r w:rsidR="007B7DE5">
        <w:rPr>
          <w:rFonts w:ascii="Arial" w:hAnsi="Arial" w:cs="Arial"/>
          <w:sz w:val="16"/>
          <w:szCs w:val="16"/>
        </w:rPr>
        <w:t xml:space="preserve"> </w:t>
      </w:r>
      <w:r w:rsidRPr="001579EB">
        <w:rPr>
          <w:rFonts w:ascii="Arial" w:hAnsi="Arial" w:cs="Arial"/>
          <w:sz w:val="16"/>
          <w:szCs w:val="16"/>
        </w:rPr>
        <w:t xml:space="preserve">the original investor </w:t>
      </w:r>
      <w:r w:rsidR="00F27C94" w:rsidRPr="001579EB">
        <w:rPr>
          <w:rFonts w:ascii="Arial" w:hAnsi="Arial" w:cs="Arial"/>
          <w:sz w:val="16"/>
          <w:szCs w:val="16"/>
        </w:rPr>
        <w:t>to a new investor. The Corporation’s investor warrants are equity instruments and not</w:t>
      </w:r>
      <w:r w:rsidR="00F27C94">
        <w:rPr>
          <w:rFonts w:ascii="Arial" w:hAnsi="Arial" w:cs="Arial"/>
          <w:sz w:val="16"/>
          <w:szCs w:val="16"/>
        </w:rPr>
        <w:t xml:space="preserve"> </w:t>
      </w:r>
      <w:r w:rsidR="00F27C94" w:rsidRPr="001579EB">
        <w:rPr>
          <w:rFonts w:ascii="Arial" w:hAnsi="Arial" w:cs="Arial"/>
          <w:sz w:val="16"/>
          <w:szCs w:val="16"/>
        </w:rPr>
        <w:t>financial liabilities or financial</w:t>
      </w:r>
      <w:r w:rsidR="00F27C94">
        <w:rPr>
          <w:rFonts w:ascii="Arial" w:hAnsi="Arial" w:cs="Arial"/>
          <w:sz w:val="16"/>
          <w:szCs w:val="16"/>
        </w:rPr>
        <w:t xml:space="preserve"> obligations.</w:t>
      </w:r>
      <w:r w:rsidRPr="001579EB">
        <w:rPr>
          <w:rFonts w:ascii="Arial" w:hAnsi="Arial" w:cs="Arial"/>
          <w:sz w:val="16"/>
          <w:szCs w:val="16"/>
        </w:rPr>
        <w:t xml:space="preserve"> Accordingly, gross investor proceeds received from the issuance of</w:t>
      </w:r>
      <w:r w:rsidR="007B7DE5">
        <w:rPr>
          <w:rFonts w:ascii="Arial" w:hAnsi="Arial" w:cs="Arial"/>
          <w:sz w:val="16"/>
          <w:szCs w:val="16"/>
        </w:rPr>
        <w:t xml:space="preserve"> </w:t>
      </w:r>
      <w:r w:rsidRPr="001579EB">
        <w:rPr>
          <w:rFonts w:ascii="Arial" w:hAnsi="Arial" w:cs="Arial"/>
          <w:sz w:val="16"/>
          <w:szCs w:val="16"/>
        </w:rPr>
        <w:t>units are accounted for as an increase in share capital. No separate valuation (i.e. “bifurcation”) of investor</w:t>
      </w:r>
      <w:r w:rsidR="007B7DE5">
        <w:rPr>
          <w:rFonts w:ascii="Arial" w:hAnsi="Arial" w:cs="Arial"/>
          <w:sz w:val="16"/>
          <w:szCs w:val="16"/>
        </w:rPr>
        <w:t xml:space="preserve"> </w:t>
      </w:r>
      <w:r w:rsidRPr="001579EB">
        <w:rPr>
          <w:rFonts w:ascii="Arial" w:hAnsi="Arial" w:cs="Arial"/>
          <w:sz w:val="16"/>
          <w:szCs w:val="16"/>
        </w:rPr>
        <w:t>warrants is made for accounting purposes at the time of issuance or at any time thereafter.</w:t>
      </w:r>
    </w:p>
    <w:p w14:paraId="320245AB" w14:textId="77777777" w:rsidR="007B7DE5" w:rsidRDefault="007B7DE5" w:rsidP="001579EB">
      <w:pPr>
        <w:autoSpaceDE w:val="0"/>
        <w:autoSpaceDN w:val="0"/>
        <w:adjustRightInd w:val="0"/>
        <w:ind w:left="851" w:right="792"/>
        <w:jc w:val="both"/>
        <w:rPr>
          <w:rFonts w:ascii="Arial" w:hAnsi="Arial" w:cs="Arial"/>
          <w:sz w:val="16"/>
          <w:szCs w:val="16"/>
        </w:rPr>
      </w:pPr>
    </w:p>
    <w:p w14:paraId="25062260" w14:textId="4FF5B061" w:rsidR="005130BF" w:rsidRPr="001579EB" w:rsidRDefault="005130BF" w:rsidP="005F4526">
      <w:pPr>
        <w:autoSpaceDE w:val="0"/>
        <w:autoSpaceDN w:val="0"/>
        <w:adjustRightInd w:val="0"/>
        <w:ind w:left="851" w:right="792"/>
        <w:jc w:val="both"/>
        <w:rPr>
          <w:rFonts w:ascii="Arial" w:hAnsi="Arial" w:cs="Arial"/>
          <w:sz w:val="16"/>
          <w:szCs w:val="16"/>
        </w:rPr>
      </w:pPr>
      <w:r w:rsidRPr="001579EB">
        <w:rPr>
          <w:rFonts w:ascii="Arial" w:hAnsi="Arial" w:cs="Arial"/>
          <w:sz w:val="16"/>
          <w:szCs w:val="16"/>
        </w:rPr>
        <w:t>When investor or other warrants are exercised, the proceeds received are added to share capital. When</w:t>
      </w:r>
      <w:r w:rsidR="005F4526">
        <w:rPr>
          <w:rFonts w:ascii="Arial" w:hAnsi="Arial" w:cs="Arial"/>
          <w:sz w:val="16"/>
          <w:szCs w:val="16"/>
        </w:rPr>
        <w:t xml:space="preserve"> </w:t>
      </w:r>
      <w:r w:rsidRPr="001579EB">
        <w:rPr>
          <w:rFonts w:ascii="Arial" w:hAnsi="Arial" w:cs="Arial"/>
          <w:sz w:val="16"/>
          <w:szCs w:val="16"/>
        </w:rPr>
        <w:t>investor or other warrants expire unexercised, no accounting entry is recorded.</w:t>
      </w:r>
    </w:p>
    <w:p w14:paraId="6E8222A4" w14:textId="77777777" w:rsidR="00A7016F" w:rsidRPr="00A153FB" w:rsidRDefault="00A7016F" w:rsidP="00A7016F">
      <w:pPr>
        <w:autoSpaceDE w:val="0"/>
        <w:autoSpaceDN w:val="0"/>
        <w:adjustRightInd w:val="0"/>
        <w:ind w:left="851"/>
        <w:jc w:val="both"/>
        <w:rPr>
          <w:rFonts w:ascii="Arial" w:hAnsi="Arial" w:cs="Arial"/>
          <w:sz w:val="16"/>
          <w:szCs w:val="16"/>
        </w:rPr>
      </w:pPr>
    </w:p>
    <w:p w14:paraId="6AA5EABA" w14:textId="77777777" w:rsidR="005130BF" w:rsidRPr="00A153FB" w:rsidRDefault="005130BF" w:rsidP="001579EB">
      <w:pPr>
        <w:autoSpaceDE w:val="0"/>
        <w:autoSpaceDN w:val="0"/>
        <w:adjustRightInd w:val="0"/>
        <w:ind w:left="851"/>
        <w:jc w:val="both"/>
        <w:rPr>
          <w:rFonts w:ascii="Arial" w:eastAsiaTheme="minorHAnsi" w:hAnsi="Arial" w:cs="Arial"/>
          <w:b/>
          <w:bCs/>
          <w:sz w:val="16"/>
          <w:szCs w:val="16"/>
        </w:rPr>
      </w:pPr>
      <w:r w:rsidRPr="00A153FB">
        <w:rPr>
          <w:rFonts w:ascii="Arial" w:eastAsiaTheme="minorHAnsi" w:hAnsi="Arial" w:cs="Arial"/>
          <w:b/>
          <w:bCs/>
          <w:sz w:val="16"/>
          <w:szCs w:val="16"/>
        </w:rPr>
        <w:t>Share-based payment transactions</w:t>
      </w:r>
    </w:p>
    <w:p w14:paraId="332090DA" w14:textId="77777777" w:rsidR="005F4526" w:rsidRDefault="005F4526" w:rsidP="001579EB">
      <w:pPr>
        <w:autoSpaceDE w:val="0"/>
        <w:autoSpaceDN w:val="0"/>
        <w:adjustRightInd w:val="0"/>
        <w:ind w:left="851" w:right="792"/>
        <w:jc w:val="both"/>
        <w:rPr>
          <w:rFonts w:ascii="Arial" w:hAnsi="Arial" w:cs="Arial"/>
          <w:sz w:val="16"/>
          <w:szCs w:val="16"/>
        </w:rPr>
      </w:pPr>
    </w:p>
    <w:p w14:paraId="564D26D4" w14:textId="5BC0EC91" w:rsidR="005130BF" w:rsidRDefault="005130BF" w:rsidP="005F4526">
      <w:pPr>
        <w:autoSpaceDE w:val="0"/>
        <w:autoSpaceDN w:val="0"/>
        <w:adjustRightInd w:val="0"/>
        <w:ind w:left="851" w:right="792"/>
        <w:jc w:val="both"/>
        <w:rPr>
          <w:rFonts w:ascii="Arial" w:hAnsi="Arial" w:cs="Arial"/>
          <w:sz w:val="16"/>
          <w:szCs w:val="16"/>
        </w:rPr>
      </w:pPr>
      <w:r w:rsidRPr="001579EB">
        <w:rPr>
          <w:rFonts w:ascii="Arial" w:hAnsi="Arial" w:cs="Arial"/>
          <w:sz w:val="16"/>
          <w:szCs w:val="16"/>
        </w:rPr>
        <w:t>The Corporation has two share-based compensation plans: The Share Option Plan and Restricted Share Unit</w:t>
      </w:r>
      <w:r w:rsidR="005F4526">
        <w:rPr>
          <w:rFonts w:ascii="Arial" w:hAnsi="Arial" w:cs="Arial"/>
          <w:sz w:val="16"/>
          <w:szCs w:val="16"/>
        </w:rPr>
        <w:t xml:space="preserve"> </w:t>
      </w:r>
      <w:r w:rsidRPr="001579EB">
        <w:rPr>
          <w:rFonts w:ascii="Arial" w:hAnsi="Arial" w:cs="Arial"/>
          <w:sz w:val="16"/>
          <w:szCs w:val="16"/>
        </w:rPr>
        <w:t xml:space="preserve">plan, as noted below, and as further discussed in Note </w:t>
      </w:r>
      <w:r w:rsidR="001D3311">
        <w:rPr>
          <w:rFonts w:ascii="Arial" w:hAnsi="Arial" w:cs="Arial"/>
          <w:sz w:val="16"/>
          <w:szCs w:val="16"/>
        </w:rPr>
        <w:t>8</w:t>
      </w:r>
      <w:r w:rsidRPr="001579EB">
        <w:rPr>
          <w:rFonts w:ascii="Arial" w:hAnsi="Arial" w:cs="Arial"/>
          <w:sz w:val="16"/>
          <w:szCs w:val="16"/>
        </w:rPr>
        <w:t xml:space="preserve"> of these consolidated financial statements.</w:t>
      </w:r>
    </w:p>
    <w:p w14:paraId="591A2441" w14:textId="77777777" w:rsidR="005F4526" w:rsidRPr="001579EB" w:rsidRDefault="005F4526" w:rsidP="001579EB">
      <w:pPr>
        <w:autoSpaceDE w:val="0"/>
        <w:autoSpaceDN w:val="0"/>
        <w:adjustRightInd w:val="0"/>
        <w:ind w:left="851" w:right="792"/>
        <w:jc w:val="both"/>
        <w:rPr>
          <w:rFonts w:ascii="Arial" w:hAnsi="Arial" w:cs="Arial"/>
          <w:sz w:val="16"/>
          <w:szCs w:val="16"/>
        </w:rPr>
      </w:pPr>
    </w:p>
    <w:p w14:paraId="76D2FF4E" w14:textId="5D723BDA" w:rsidR="005130BF" w:rsidRDefault="005130BF" w:rsidP="005F4526">
      <w:pPr>
        <w:autoSpaceDE w:val="0"/>
        <w:autoSpaceDN w:val="0"/>
        <w:adjustRightInd w:val="0"/>
        <w:ind w:left="851" w:right="792"/>
        <w:jc w:val="both"/>
        <w:rPr>
          <w:rFonts w:ascii="Arial" w:hAnsi="Arial" w:cs="Arial"/>
          <w:sz w:val="16"/>
          <w:szCs w:val="16"/>
        </w:rPr>
      </w:pPr>
      <w:r w:rsidRPr="001579EB">
        <w:rPr>
          <w:rFonts w:ascii="Arial" w:hAnsi="Arial" w:cs="Arial"/>
          <w:sz w:val="16"/>
          <w:szCs w:val="16"/>
        </w:rPr>
        <w:t>All goods and services received in exchange for the grant of any share-based payment are measured at their</w:t>
      </w:r>
      <w:r w:rsidR="005F4526">
        <w:rPr>
          <w:rFonts w:ascii="Arial" w:hAnsi="Arial" w:cs="Arial"/>
          <w:sz w:val="16"/>
          <w:szCs w:val="16"/>
        </w:rPr>
        <w:t xml:space="preserve"> </w:t>
      </w:r>
      <w:r w:rsidRPr="001579EB">
        <w:rPr>
          <w:rFonts w:ascii="Arial" w:hAnsi="Arial" w:cs="Arial"/>
          <w:sz w:val="16"/>
          <w:szCs w:val="16"/>
        </w:rPr>
        <w:t>fair values. Where employees are rewarded using share-based payments, the fair values of employees'</w:t>
      </w:r>
      <w:r w:rsidR="005F4526">
        <w:rPr>
          <w:rFonts w:ascii="Arial" w:hAnsi="Arial" w:cs="Arial"/>
          <w:sz w:val="16"/>
          <w:szCs w:val="16"/>
        </w:rPr>
        <w:t xml:space="preserve"> </w:t>
      </w:r>
      <w:r w:rsidRPr="001579EB">
        <w:rPr>
          <w:rFonts w:ascii="Arial" w:hAnsi="Arial" w:cs="Arial"/>
          <w:sz w:val="16"/>
          <w:szCs w:val="16"/>
        </w:rPr>
        <w:t>services are determined indirectly by reference to the fair value of the equity instruments granted. This fair</w:t>
      </w:r>
      <w:r w:rsidR="005F4526">
        <w:rPr>
          <w:rFonts w:ascii="Arial" w:hAnsi="Arial" w:cs="Arial"/>
          <w:sz w:val="16"/>
          <w:szCs w:val="16"/>
        </w:rPr>
        <w:t xml:space="preserve"> </w:t>
      </w:r>
      <w:r w:rsidRPr="001579EB">
        <w:rPr>
          <w:rFonts w:ascii="Arial" w:hAnsi="Arial" w:cs="Arial"/>
          <w:sz w:val="16"/>
          <w:szCs w:val="16"/>
        </w:rPr>
        <w:t>value is determined at the grant date.</w:t>
      </w:r>
    </w:p>
    <w:p w14:paraId="15F7DA7F" w14:textId="77777777" w:rsidR="005F4526" w:rsidRPr="001579EB" w:rsidRDefault="005F4526" w:rsidP="001579EB">
      <w:pPr>
        <w:autoSpaceDE w:val="0"/>
        <w:autoSpaceDN w:val="0"/>
        <w:adjustRightInd w:val="0"/>
        <w:ind w:left="851" w:right="792"/>
        <w:jc w:val="both"/>
        <w:rPr>
          <w:rFonts w:ascii="Arial" w:hAnsi="Arial" w:cs="Arial"/>
          <w:sz w:val="16"/>
          <w:szCs w:val="16"/>
        </w:rPr>
      </w:pPr>
    </w:p>
    <w:p w14:paraId="17993FC3" w14:textId="6085E55E" w:rsidR="005130BF" w:rsidRPr="005F4526" w:rsidRDefault="005130BF" w:rsidP="005F4526">
      <w:pPr>
        <w:autoSpaceDE w:val="0"/>
        <w:autoSpaceDN w:val="0"/>
        <w:adjustRightInd w:val="0"/>
        <w:ind w:left="851"/>
        <w:jc w:val="both"/>
        <w:rPr>
          <w:rFonts w:ascii="Arial" w:eastAsiaTheme="minorHAnsi" w:hAnsi="Arial" w:cs="Arial"/>
          <w:sz w:val="16"/>
          <w:szCs w:val="16"/>
          <w:u w:val="single"/>
        </w:rPr>
      </w:pPr>
      <w:r w:rsidRPr="005F4526">
        <w:rPr>
          <w:rFonts w:ascii="Arial" w:eastAsiaTheme="minorHAnsi" w:hAnsi="Arial" w:cs="Arial"/>
          <w:sz w:val="16"/>
          <w:szCs w:val="16"/>
          <w:u w:val="single"/>
        </w:rPr>
        <w:t>Share Option Plan</w:t>
      </w:r>
    </w:p>
    <w:p w14:paraId="0BBD3FF0" w14:textId="77777777" w:rsidR="005F4526" w:rsidRPr="001579EB" w:rsidRDefault="005F4526" w:rsidP="001579EB">
      <w:pPr>
        <w:autoSpaceDE w:val="0"/>
        <w:autoSpaceDN w:val="0"/>
        <w:adjustRightInd w:val="0"/>
        <w:ind w:left="851" w:right="792"/>
        <w:jc w:val="both"/>
        <w:rPr>
          <w:rFonts w:ascii="Arial" w:hAnsi="Arial" w:cs="Arial"/>
          <w:sz w:val="16"/>
          <w:szCs w:val="16"/>
        </w:rPr>
      </w:pPr>
    </w:p>
    <w:p w14:paraId="4DFCCB00" w14:textId="7AA595C8" w:rsidR="005130BF" w:rsidRDefault="005130BF" w:rsidP="005F4526">
      <w:pPr>
        <w:autoSpaceDE w:val="0"/>
        <w:autoSpaceDN w:val="0"/>
        <w:adjustRightInd w:val="0"/>
        <w:ind w:left="851" w:right="792"/>
        <w:jc w:val="both"/>
        <w:rPr>
          <w:rFonts w:ascii="Arial" w:hAnsi="Arial" w:cs="Arial"/>
          <w:sz w:val="16"/>
          <w:szCs w:val="16"/>
        </w:rPr>
      </w:pPr>
      <w:r w:rsidRPr="001579EB">
        <w:rPr>
          <w:rFonts w:ascii="Arial" w:hAnsi="Arial" w:cs="Arial"/>
          <w:sz w:val="16"/>
          <w:szCs w:val="16"/>
        </w:rPr>
        <w:t>Stock options are equity-settled share-based compensation awards. The fair value of stock options at the grant</w:t>
      </w:r>
      <w:r w:rsidR="005F4526">
        <w:rPr>
          <w:rFonts w:ascii="Arial" w:hAnsi="Arial" w:cs="Arial"/>
          <w:sz w:val="16"/>
          <w:szCs w:val="16"/>
        </w:rPr>
        <w:t xml:space="preserve"> </w:t>
      </w:r>
      <w:r w:rsidRPr="001579EB">
        <w:rPr>
          <w:rFonts w:ascii="Arial" w:hAnsi="Arial" w:cs="Arial"/>
          <w:sz w:val="16"/>
          <w:szCs w:val="16"/>
        </w:rPr>
        <w:t>date is estimated using the Black-Scholes option pricing model. Compensation expense is recognized over the</w:t>
      </w:r>
      <w:r w:rsidR="005F4526">
        <w:rPr>
          <w:rFonts w:ascii="Arial" w:hAnsi="Arial" w:cs="Arial"/>
          <w:sz w:val="16"/>
          <w:szCs w:val="16"/>
        </w:rPr>
        <w:t xml:space="preserve"> </w:t>
      </w:r>
      <w:r w:rsidRPr="001579EB">
        <w:rPr>
          <w:rFonts w:ascii="Arial" w:hAnsi="Arial" w:cs="Arial"/>
          <w:sz w:val="16"/>
          <w:szCs w:val="16"/>
        </w:rPr>
        <w:t>stock option vesting period based on the number of units estimated to vest. Vesting periods range from</w:t>
      </w:r>
      <w:r w:rsidR="005F4526">
        <w:rPr>
          <w:rFonts w:ascii="Arial" w:hAnsi="Arial" w:cs="Arial"/>
          <w:sz w:val="16"/>
          <w:szCs w:val="16"/>
        </w:rPr>
        <w:t xml:space="preserve"> </w:t>
      </w:r>
      <w:r w:rsidRPr="001579EB">
        <w:rPr>
          <w:rFonts w:ascii="Arial" w:hAnsi="Arial" w:cs="Arial"/>
          <w:sz w:val="16"/>
          <w:szCs w:val="16"/>
        </w:rPr>
        <w:t>immediate to five years. This expense is recognized as share-based compensation expense with a</w:t>
      </w:r>
      <w:r w:rsidR="005F4526">
        <w:rPr>
          <w:rFonts w:ascii="Arial" w:hAnsi="Arial" w:cs="Arial"/>
          <w:sz w:val="16"/>
          <w:szCs w:val="16"/>
        </w:rPr>
        <w:t xml:space="preserve"> </w:t>
      </w:r>
      <w:r w:rsidRPr="001579EB">
        <w:rPr>
          <w:rFonts w:ascii="Arial" w:hAnsi="Arial" w:cs="Arial"/>
          <w:sz w:val="16"/>
          <w:szCs w:val="16"/>
        </w:rPr>
        <w:t>corresponding increase in contributed surplus. When options are exercised, the proceeds received by the</w:t>
      </w:r>
      <w:r w:rsidR="005F4526">
        <w:rPr>
          <w:rFonts w:ascii="Arial" w:hAnsi="Arial" w:cs="Arial"/>
          <w:sz w:val="16"/>
          <w:szCs w:val="16"/>
        </w:rPr>
        <w:t xml:space="preserve"> </w:t>
      </w:r>
      <w:r w:rsidRPr="001579EB">
        <w:rPr>
          <w:rFonts w:ascii="Arial" w:hAnsi="Arial" w:cs="Arial"/>
          <w:sz w:val="16"/>
          <w:szCs w:val="16"/>
        </w:rPr>
        <w:t>Corporation, together with the amount in contributed surplus, are credited to common shares.</w:t>
      </w:r>
    </w:p>
    <w:p w14:paraId="78B3EAFC" w14:textId="77777777" w:rsidR="005F4526" w:rsidRPr="001579EB" w:rsidRDefault="005F4526" w:rsidP="001579EB">
      <w:pPr>
        <w:autoSpaceDE w:val="0"/>
        <w:autoSpaceDN w:val="0"/>
        <w:adjustRightInd w:val="0"/>
        <w:ind w:left="851" w:right="792"/>
        <w:jc w:val="both"/>
        <w:rPr>
          <w:rFonts w:ascii="Arial" w:hAnsi="Arial" w:cs="Arial"/>
          <w:sz w:val="16"/>
          <w:szCs w:val="16"/>
        </w:rPr>
      </w:pPr>
    </w:p>
    <w:p w14:paraId="698238A3" w14:textId="2DE1A6CD" w:rsidR="005130BF" w:rsidRDefault="005130BF" w:rsidP="005F4526">
      <w:pPr>
        <w:autoSpaceDE w:val="0"/>
        <w:autoSpaceDN w:val="0"/>
        <w:adjustRightInd w:val="0"/>
        <w:ind w:left="851" w:right="792"/>
        <w:jc w:val="both"/>
        <w:rPr>
          <w:rFonts w:ascii="Arial" w:hAnsi="Arial" w:cs="Arial"/>
          <w:sz w:val="16"/>
          <w:szCs w:val="16"/>
        </w:rPr>
      </w:pPr>
      <w:r w:rsidRPr="001579EB">
        <w:rPr>
          <w:rFonts w:ascii="Arial" w:hAnsi="Arial" w:cs="Arial"/>
          <w:sz w:val="16"/>
          <w:szCs w:val="16"/>
        </w:rPr>
        <w:t>If vesting periods or other vesting conditions apply, the expense is allocated over the vesting period, based on</w:t>
      </w:r>
      <w:r w:rsidR="005F4526">
        <w:rPr>
          <w:rFonts w:ascii="Arial" w:hAnsi="Arial" w:cs="Arial"/>
          <w:sz w:val="16"/>
          <w:szCs w:val="16"/>
        </w:rPr>
        <w:t xml:space="preserve"> </w:t>
      </w:r>
      <w:r w:rsidRPr="001579EB">
        <w:rPr>
          <w:rFonts w:ascii="Arial" w:hAnsi="Arial" w:cs="Arial"/>
          <w:sz w:val="16"/>
          <w:szCs w:val="16"/>
        </w:rPr>
        <w:t>the best available estimate of the number of share options expected to vest. Non-market vesting conditions are</w:t>
      </w:r>
      <w:r w:rsidR="005F4526">
        <w:rPr>
          <w:rFonts w:ascii="Arial" w:hAnsi="Arial" w:cs="Arial"/>
          <w:sz w:val="16"/>
          <w:szCs w:val="16"/>
        </w:rPr>
        <w:t xml:space="preserve"> </w:t>
      </w:r>
      <w:r w:rsidRPr="001579EB">
        <w:rPr>
          <w:rFonts w:ascii="Arial" w:hAnsi="Arial" w:cs="Arial"/>
          <w:sz w:val="16"/>
          <w:szCs w:val="16"/>
        </w:rPr>
        <w:t>included in assumptions about the number of options that are expected to become exercisable. Estimates are</w:t>
      </w:r>
      <w:r w:rsidR="005F4526">
        <w:rPr>
          <w:rFonts w:ascii="Arial" w:hAnsi="Arial" w:cs="Arial"/>
          <w:sz w:val="16"/>
          <w:szCs w:val="16"/>
        </w:rPr>
        <w:t xml:space="preserve"> </w:t>
      </w:r>
      <w:r w:rsidRPr="001579EB">
        <w:rPr>
          <w:rFonts w:ascii="Arial" w:hAnsi="Arial" w:cs="Arial"/>
          <w:sz w:val="16"/>
          <w:szCs w:val="16"/>
        </w:rPr>
        <w:t>subsequently revised if there is any indication that the number of share options expected to vest differs from</w:t>
      </w:r>
      <w:r w:rsidR="005F4526">
        <w:rPr>
          <w:rFonts w:ascii="Arial" w:hAnsi="Arial" w:cs="Arial"/>
          <w:sz w:val="16"/>
          <w:szCs w:val="16"/>
        </w:rPr>
        <w:t xml:space="preserve"> </w:t>
      </w:r>
      <w:r w:rsidRPr="001579EB">
        <w:rPr>
          <w:rFonts w:ascii="Arial" w:hAnsi="Arial" w:cs="Arial"/>
          <w:sz w:val="16"/>
          <w:szCs w:val="16"/>
        </w:rPr>
        <w:t>previous estimates. Any cumulative adjustment prior to vesting is recognized in the current period. No</w:t>
      </w:r>
      <w:r w:rsidR="005F4526">
        <w:rPr>
          <w:rFonts w:ascii="Arial" w:hAnsi="Arial" w:cs="Arial"/>
          <w:sz w:val="16"/>
          <w:szCs w:val="16"/>
        </w:rPr>
        <w:t xml:space="preserve"> </w:t>
      </w:r>
      <w:r w:rsidRPr="001579EB">
        <w:rPr>
          <w:rFonts w:ascii="Arial" w:hAnsi="Arial" w:cs="Arial"/>
          <w:sz w:val="16"/>
          <w:szCs w:val="16"/>
        </w:rPr>
        <w:t>adjustment is made to any expense recognized in prior periods if share options ultimately exercised are less</w:t>
      </w:r>
      <w:r w:rsidR="005F4526">
        <w:rPr>
          <w:rFonts w:ascii="Arial" w:hAnsi="Arial" w:cs="Arial"/>
          <w:sz w:val="16"/>
          <w:szCs w:val="16"/>
        </w:rPr>
        <w:t xml:space="preserve"> </w:t>
      </w:r>
      <w:r w:rsidRPr="001579EB">
        <w:rPr>
          <w:rFonts w:ascii="Arial" w:hAnsi="Arial" w:cs="Arial"/>
          <w:sz w:val="16"/>
          <w:szCs w:val="16"/>
        </w:rPr>
        <w:t>than that estimated on vesting.</w:t>
      </w:r>
    </w:p>
    <w:p w14:paraId="6878ED19" w14:textId="77777777" w:rsidR="00A81675" w:rsidRDefault="00A81675" w:rsidP="001E0283">
      <w:pPr>
        <w:autoSpaceDE w:val="0"/>
        <w:autoSpaceDN w:val="0"/>
        <w:adjustRightInd w:val="0"/>
        <w:ind w:left="851" w:right="794"/>
        <w:jc w:val="both"/>
        <w:rPr>
          <w:rFonts w:ascii="Arial" w:hAnsi="Arial" w:cs="Arial"/>
          <w:sz w:val="16"/>
          <w:szCs w:val="16"/>
        </w:rPr>
      </w:pPr>
    </w:p>
    <w:p w14:paraId="17CA1832" w14:textId="2996552A" w:rsidR="005130BF" w:rsidRDefault="005130BF" w:rsidP="001579EB">
      <w:pPr>
        <w:autoSpaceDE w:val="0"/>
        <w:autoSpaceDN w:val="0"/>
        <w:adjustRightInd w:val="0"/>
        <w:ind w:left="851"/>
        <w:jc w:val="both"/>
        <w:rPr>
          <w:rFonts w:ascii="Arial" w:eastAsiaTheme="minorHAnsi" w:hAnsi="Arial" w:cs="Arial"/>
          <w:sz w:val="16"/>
          <w:szCs w:val="16"/>
          <w:u w:val="single"/>
        </w:rPr>
      </w:pPr>
      <w:r w:rsidRPr="005130BF">
        <w:rPr>
          <w:rFonts w:ascii="Arial" w:eastAsiaTheme="minorHAnsi" w:hAnsi="Arial" w:cs="Arial"/>
          <w:sz w:val="16"/>
          <w:szCs w:val="16"/>
          <w:u w:val="single"/>
        </w:rPr>
        <w:t>Restricted Share Unit Plan</w:t>
      </w:r>
    </w:p>
    <w:p w14:paraId="1177D522" w14:textId="77777777" w:rsidR="00A7016F" w:rsidRPr="00A153FB" w:rsidRDefault="00A7016F" w:rsidP="00A7016F">
      <w:pPr>
        <w:autoSpaceDE w:val="0"/>
        <w:autoSpaceDN w:val="0"/>
        <w:adjustRightInd w:val="0"/>
        <w:ind w:left="851"/>
        <w:jc w:val="both"/>
        <w:rPr>
          <w:rFonts w:ascii="Arial" w:hAnsi="Arial" w:cs="Arial"/>
          <w:sz w:val="16"/>
          <w:szCs w:val="16"/>
        </w:rPr>
      </w:pPr>
    </w:p>
    <w:p w14:paraId="3E7DCA28" w14:textId="1A40143A" w:rsidR="005130BF" w:rsidRPr="001579EB" w:rsidRDefault="005130BF" w:rsidP="005F4526">
      <w:pPr>
        <w:autoSpaceDE w:val="0"/>
        <w:autoSpaceDN w:val="0"/>
        <w:adjustRightInd w:val="0"/>
        <w:ind w:left="851" w:right="792"/>
        <w:jc w:val="both"/>
        <w:rPr>
          <w:rFonts w:ascii="Arial" w:hAnsi="Arial" w:cs="Arial"/>
          <w:sz w:val="16"/>
          <w:szCs w:val="16"/>
        </w:rPr>
      </w:pPr>
      <w:r w:rsidRPr="001579EB">
        <w:rPr>
          <w:rFonts w:ascii="Arial" w:hAnsi="Arial" w:cs="Arial"/>
          <w:sz w:val="16"/>
          <w:szCs w:val="16"/>
        </w:rPr>
        <w:t xml:space="preserve">Restricted share units ("RSU") are granted to eligible members of the Board of Directors, eligible </w:t>
      </w:r>
      <w:proofErr w:type="gramStart"/>
      <w:r w:rsidRPr="001579EB">
        <w:rPr>
          <w:rFonts w:ascii="Arial" w:hAnsi="Arial" w:cs="Arial"/>
          <w:sz w:val="16"/>
          <w:szCs w:val="16"/>
        </w:rPr>
        <w:t>employees</w:t>
      </w:r>
      <w:proofErr w:type="gramEnd"/>
      <w:r w:rsidR="005F4526">
        <w:rPr>
          <w:rFonts w:ascii="Arial" w:hAnsi="Arial" w:cs="Arial"/>
          <w:sz w:val="16"/>
          <w:szCs w:val="16"/>
        </w:rPr>
        <w:t xml:space="preserve"> </w:t>
      </w:r>
      <w:r w:rsidRPr="001579EB">
        <w:rPr>
          <w:rFonts w:ascii="Arial" w:hAnsi="Arial" w:cs="Arial"/>
          <w:sz w:val="16"/>
          <w:szCs w:val="16"/>
        </w:rPr>
        <w:t>and eligible contractors. The RSUs are settled in cash or equity at the option of the Corporation. The RSUs</w:t>
      </w:r>
      <w:r w:rsidR="005F4526">
        <w:rPr>
          <w:rFonts w:ascii="Arial" w:hAnsi="Arial" w:cs="Arial"/>
          <w:sz w:val="16"/>
          <w:szCs w:val="16"/>
        </w:rPr>
        <w:t xml:space="preserve"> </w:t>
      </w:r>
      <w:r w:rsidRPr="001579EB">
        <w:rPr>
          <w:rFonts w:ascii="Arial" w:hAnsi="Arial" w:cs="Arial"/>
          <w:sz w:val="16"/>
          <w:szCs w:val="16"/>
        </w:rPr>
        <w:t>vest subject to an RSU award letter but no later than December 31, of the third calendar year following the</w:t>
      </w:r>
      <w:r w:rsidR="005F4526">
        <w:rPr>
          <w:rFonts w:ascii="Arial" w:hAnsi="Arial" w:cs="Arial"/>
          <w:sz w:val="16"/>
          <w:szCs w:val="16"/>
        </w:rPr>
        <w:t xml:space="preserve"> </w:t>
      </w:r>
      <w:r w:rsidRPr="001579EB">
        <w:rPr>
          <w:rFonts w:ascii="Arial" w:hAnsi="Arial" w:cs="Arial"/>
          <w:sz w:val="16"/>
          <w:szCs w:val="16"/>
        </w:rPr>
        <w:t xml:space="preserve">service year determined based on date of grant. The RSUs granted are accounted for under the </w:t>
      </w:r>
      <w:r w:rsidR="009A61B8">
        <w:rPr>
          <w:rFonts w:ascii="Arial" w:hAnsi="Arial" w:cs="Arial"/>
          <w:sz w:val="16"/>
          <w:szCs w:val="16"/>
        </w:rPr>
        <w:t>equity</w:t>
      </w:r>
      <w:r w:rsidRPr="001579EB">
        <w:rPr>
          <w:rFonts w:ascii="Arial" w:hAnsi="Arial" w:cs="Arial"/>
          <w:sz w:val="16"/>
          <w:szCs w:val="16"/>
        </w:rPr>
        <w:t xml:space="preserve"> method</w:t>
      </w:r>
      <w:r w:rsidR="005F4526">
        <w:rPr>
          <w:rFonts w:ascii="Arial" w:hAnsi="Arial" w:cs="Arial"/>
          <w:sz w:val="16"/>
          <w:szCs w:val="16"/>
        </w:rPr>
        <w:t xml:space="preserve"> </w:t>
      </w:r>
      <w:r w:rsidR="00401C71">
        <w:rPr>
          <w:rFonts w:ascii="Arial" w:hAnsi="Arial" w:cs="Arial"/>
          <w:sz w:val="16"/>
          <w:szCs w:val="16"/>
        </w:rPr>
        <w:t>as the</w:t>
      </w:r>
      <w:r w:rsidR="00977398">
        <w:rPr>
          <w:rFonts w:ascii="Arial" w:hAnsi="Arial" w:cs="Arial"/>
          <w:sz w:val="16"/>
          <w:szCs w:val="16"/>
        </w:rPr>
        <w:t>y</w:t>
      </w:r>
      <w:r w:rsidR="00401C71">
        <w:rPr>
          <w:rFonts w:ascii="Arial" w:hAnsi="Arial" w:cs="Arial"/>
          <w:sz w:val="16"/>
          <w:szCs w:val="16"/>
        </w:rPr>
        <w:t xml:space="preserve"> </w:t>
      </w:r>
      <w:r w:rsidR="00977398">
        <w:rPr>
          <w:rFonts w:ascii="Arial" w:hAnsi="Arial" w:cs="Arial"/>
          <w:sz w:val="16"/>
          <w:szCs w:val="16"/>
        </w:rPr>
        <w:t>expected to be settled in equity</w:t>
      </w:r>
      <w:r w:rsidR="009A61B8">
        <w:rPr>
          <w:rFonts w:ascii="Arial" w:hAnsi="Arial" w:cs="Arial"/>
          <w:sz w:val="16"/>
          <w:szCs w:val="16"/>
        </w:rPr>
        <w:t>.</w:t>
      </w:r>
      <w:r w:rsidRPr="001579EB">
        <w:rPr>
          <w:rFonts w:ascii="Arial" w:hAnsi="Arial" w:cs="Arial"/>
          <w:sz w:val="16"/>
          <w:szCs w:val="16"/>
        </w:rPr>
        <w:t xml:space="preserve"> </w:t>
      </w:r>
    </w:p>
    <w:p w14:paraId="3D382DE0" w14:textId="77777777" w:rsidR="00A7016F" w:rsidRPr="00A153FB" w:rsidRDefault="00A7016F" w:rsidP="00A7016F">
      <w:pPr>
        <w:autoSpaceDE w:val="0"/>
        <w:autoSpaceDN w:val="0"/>
        <w:adjustRightInd w:val="0"/>
        <w:ind w:left="851"/>
        <w:jc w:val="both"/>
        <w:rPr>
          <w:rFonts w:ascii="Arial" w:hAnsi="Arial" w:cs="Arial"/>
          <w:sz w:val="16"/>
          <w:szCs w:val="16"/>
        </w:rPr>
      </w:pPr>
    </w:p>
    <w:p w14:paraId="45863788" w14:textId="5932BA6C" w:rsidR="005130BF" w:rsidRPr="00A153FB" w:rsidRDefault="005130BF" w:rsidP="001579EB">
      <w:pPr>
        <w:autoSpaceDE w:val="0"/>
        <w:autoSpaceDN w:val="0"/>
        <w:adjustRightInd w:val="0"/>
        <w:ind w:left="851"/>
        <w:jc w:val="both"/>
        <w:rPr>
          <w:rFonts w:ascii="Arial" w:eastAsiaTheme="minorHAnsi" w:hAnsi="Arial" w:cs="Arial"/>
          <w:b/>
          <w:bCs/>
          <w:sz w:val="16"/>
          <w:szCs w:val="16"/>
        </w:rPr>
      </w:pPr>
      <w:r w:rsidRPr="00A153FB">
        <w:rPr>
          <w:rFonts w:ascii="Arial" w:eastAsiaTheme="minorHAnsi" w:hAnsi="Arial" w:cs="Arial"/>
          <w:b/>
          <w:bCs/>
          <w:sz w:val="16"/>
          <w:szCs w:val="16"/>
        </w:rPr>
        <w:t>Income taxes</w:t>
      </w:r>
    </w:p>
    <w:p w14:paraId="2F44D0E1" w14:textId="77777777" w:rsidR="00A7016F" w:rsidRPr="00A153FB" w:rsidRDefault="00A7016F" w:rsidP="00A7016F">
      <w:pPr>
        <w:autoSpaceDE w:val="0"/>
        <w:autoSpaceDN w:val="0"/>
        <w:adjustRightInd w:val="0"/>
        <w:ind w:left="851"/>
        <w:jc w:val="both"/>
        <w:rPr>
          <w:rFonts w:ascii="Arial" w:hAnsi="Arial" w:cs="Arial"/>
          <w:sz w:val="16"/>
          <w:szCs w:val="16"/>
        </w:rPr>
      </w:pPr>
    </w:p>
    <w:p w14:paraId="18156106" w14:textId="7A026B98" w:rsidR="005130BF" w:rsidRPr="00A153FB" w:rsidRDefault="005130BF" w:rsidP="005F4526">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Tax expense recognized in profit or loss comprises the sum of deferred tax and current tax not recognized in</w:t>
      </w:r>
      <w:r w:rsidR="005F4526" w:rsidRPr="00A153FB">
        <w:rPr>
          <w:rFonts w:ascii="Arial" w:hAnsi="Arial" w:cs="Arial"/>
          <w:sz w:val="16"/>
          <w:szCs w:val="16"/>
        </w:rPr>
        <w:t xml:space="preserve"> </w:t>
      </w:r>
      <w:r w:rsidRPr="00A153FB">
        <w:rPr>
          <w:rFonts w:ascii="Arial" w:hAnsi="Arial" w:cs="Arial"/>
          <w:sz w:val="16"/>
          <w:szCs w:val="16"/>
        </w:rPr>
        <w:t>other comprehensive income or directly in equity.</w:t>
      </w:r>
    </w:p>
    <w:p w14:paraId="158ED01C" w14:textId="1EBB6669" w:rsidR="005F4526" w:rsidRPr="00A153FB" w:rsidRDefault="005F4526" w:rsidP="001579EB">
      <w:pPr>
        <w:autoSpaceDE w:val="0"/>
        <w:autoSpaceDN w:val="0"/>
        <w:adjustRightInd w:val="0"/>
        <w:ind w:left="851" w:right="792"/>
        <w:jc w:val="both"/>
        <w:rPr>
          <w:rFonts w:ascii="Arial" w:hAnsi="Arial" w:cs="Arial"/>
          <w:sz w:val="16"/>
          <w:szCs w:val="16"/>
        </w:rPr>
      </w:pPr>
    </w:p>
    <w:p w14:paraId="3F931DA1" w14:textId="2115B421" w:rsidR="005130BF" w:rsidRPr="00A153FB" w:rsidRDefault="005130BF" w:rsidP="006A7B76">
      <w:pPr>
        <w:autoSpaceDE w:val="0"/>
        <w:autoSpaceDN w:val="0"/>
        <w:adjustRightInd w:val="0"/>
        <w:ind w:left="851" w:right="792"/>
        <w:jc w:val="both"/>
        <w:rPr>
          <w:rFonts w:ascii="Arial" w:hAnsi="Arial" w:cs="Arial"/>
          <w:sz w:val="16"/>
          <w:szCs w:val="16"/>
        </w:rPr>
      </w:pPr>
      <w:r w:rsidRPr="00A153FB">
        <w:rPr>
          <w:rFonts w:ascii="Arial" w:hAnsi="Arial" w:cs="Arial"/>
          <w:sz w:val="16"/>
          <w:szCs w:val="16"/>
        </w:rPr>
        <w:t>Current income tax assets and/or liabilities comprise those obligations to, or claims from, fiscal authorities</w:t>
      </w:r>
      <w:r w:rsidR="005F4526" w:rsidRPr="00A153FB">
        <w:rPr>
          <w:rFonts w:ascii="Arial" w:hAnsi="Arial" w:cs="Arial"/>
          <w:sz w:val="16"/>
          <w:szCs w:val="16"/>
        </w:rPr>
        <w:t xml:space="preserve"> </w:t>
      </w:r>
      <w:r w:rsidRPr="00A153FB">
        <w:rPr>
          <w:rFonts w:ascii="Arial" w:hAnsi="Arial" w:cs="Arial"/>
          <w:sz w:val="16"/>
          <w:szCs w:val="16"/>
        </w:rPr>
        <w:t>relating to the current or prior reporting periods, that are unpaid at the reporting date. Current tax is payable on</w:t>
      </w:r>
      <w:r w:rsidR="005F4526" w:rsidRPr="00A153FB">
        <w:rPr>
          <w:rFonts w:ascii="Arial" w:hAnsi="Arial" w:cs="Arial"/>
          <w:sz w:val="16"/>
          <w:szCs w:val="16"/>
        </w:rPr>
        <w:t xml:space="preserve"> </w:t>
      </w:r>
      <w:r w:rsidRPr="00A153FB">
        <w:rPr>
          <w:rFonts w:ascii="Arial" w:hAnsi="Arial" w:cs="Arial"/>
          <w:sz w:val="16"/>
          <w:szCs w:val="16"/>
        </w:rPr>
        <w:t>taxable profit, which differs from profit or loss in the financial statements. Calculation of current tax expense is</w:t>
      </w:r>
      <w:r w:rsidR="006A7B76" w:rsidRPr="00A153FB">
        <w:rPr>
          <w:rFonts w:ascii="Arial" w:hAnsi="Arial" w:cs="Arial"/>
          <w:sz w:val="16"/>
          <w:szCs w:val="16"/>
        </w:rPr>
        <w:t xml:space="preserve"> </w:t>
      </w:r>
      <w:r w:rsidRPr="00A153FB">
        <w:rPr>
          <w:rFonts w:ascii="Arial" w:hAnsi="Arial" w:cs="Arial"/>
          <w:sz w:val="16"/>
          <w:szCs w:val="16"/>
        </w:rPr>
        <w:t>based on tax rates and tax laws that have been enacted or substantively enacted by the end of the reporting</w:t>
      </w:r>
      <w:r w:rsidR="006A7B76" w:rsidRPr="00A153FB">
        <w:rPr>
          <w:rFonts w:ascii="Arial" w:hAnsi="Arial" w:cs="Arial"/>
          <w:sz w:val="16"/>
          <w:szCs w:val="16"/>
        </w:rPr>
        <w:t xml:space="preserve"> </w:t>
      </w:r>
      <w:r w:rsidRPr="00A153FB">
        <w:rPr>
          <w:rFonts w:ascii="Arial" w:hAnsi="Arial" w:cs="Arial"/>
          <w:sz w:val="16"/>
          <w:szCs w:val="16"/>
        </w:rPr>
        <w:t>period.</w:t>
      </w:r>
    </w:p>
    <w:p w14:paraId="0017A60C" w14:textId="77777777" w:rsidR="005F4526" w:rsidRDefault="005F4526" w:rsidP="001579EB">
      <w:pPr>
        <w:autoSpaceDE w:val="0"/>
        <w:autoSpaceDN w:val="0"/>
        <w:adjustRightInd w:val="0"/>
        <w:ind w:left="851" w:right="792"/>
        <w:jc w:val="both"/>
        <w:rPr>
          <w:rFonts w:ascii="Arial" w:hAnsi="Arial" w:cs="Arial"/>
          <w:sz w:val="16"/>
          <w:szCs w:val="16"/>
        </w:rPr>
      </w:pPr>
    </w:p>
    <w:p w14:paraId="7A6575B6" w14:textId="77777777" w:rsidR="001F1E3D" w:rsidRDefault="001F1E3D" w:rsidP="001579EB">
      <w:pPr>
        <w:autoSpaceDE w:val="0"/>
        <w:autoSpaceDN w:val="0"/>
        <w:adjustRightInd w:val="0"/>
        <w:ind w:left="851" w:right="792"/>
        <w:jc w:val="both"/>
        <w:rPr>
          <w:rFonts w:ascii="Arial" w:hAnsi="Arial" w:cs="Arial"/>
          <w:sz w:val="16"/>
          <w:szCs w:val="16"/>
        </w:rPr>
      </w:pPr>
    </w:p>
    <w:p w14:paraId="35C5AA32" w14:textId="77777777" w:rsidR="001B14C4" w:rsidRPr="001579EB" w:rsidRDefault="001B14C4" w:rsidP="001579EB">
      <w:pPr>
        <w:autoSpaceDE w:val="0"/>
        <w:autoSpaceDN w:val="0"/>
        <w:adjustRightInd w:val="0"/>
        <w:ind w:left="851" w:right="792"/>
        <w:jc w:val="both"/>
        <w:rPr>
          <w:rFonts w:ascii="Arial" w:hAnsi="Arial" w:cs="Arial"/>
          <w:sz w:val="16"/>
          <w:szCs w:val="16"/>
        </w:rPr>
      </w:pPr>
    </w:p>
    <w:p w14:paraId="0B081C98" w14:textId="79C0977E" w:rsidR="00750662" w:rsidRDefault="005130BF" w:rsidP="00FE5118">
      <w:pPr>
        <w:autoSpaceDE w:val="0"/>
        <w:autoSpaceDN w:val="0"/>
        <w:adjustRightInd w:val="0"/>
        <w:ind w:left="851" w:right="792"/>
        <w:jc w:val="both"/>
        <w:rPr>
          <w:rFonts w:ascii="Arial" w:hAnsi="Arial" w:cs="Arial"/>
          <w:sz w:val="16"/>
          <w:szCs w:val="16"/>
        </w:rPr>
      </w:pPr>
      <w:r w:rsidRPr="001579EB">
        <w:rPr>
          <w:rFonts w:ascii="Arial" w:hAnsi="Arial" w:cs="Arial"/>
          <w:sz w:val="16"/>
          <w:szCs w:val="16"/>
        </w:rPr>
        <w:t>Deferred income taxes are calculated using the liability method on temporary differences between the carrying</w:t>
      </w:r>
      <w:r w:rsidR="006A7B76">
        <w:rPr>
          <w:rFonts w:ascii="Arial" w:hAnsi="Arial" w:cs="Arial"/>
          <w:sz w:val="16"/>
          <w:szCs w:val="16"/>
        </w:rPr>
        <w:t xml:space="preserve"> </w:t>
      </w:r>
      <w:r w:rsidRPr="001579EB">
        <w:rPr>
          <w:rFonts w:ascii="Arial" w:hAnsi="Arial" w:cs="Arial"/>
          <w:sz w:val="16"/>
          <w:szCs w:val="16"/>
        </w:rPr>
        <w:t>amounts of assets and liabilities and their tax bases. However, deferred tax is not provided on the initial</w:t>
      </w:r>
      <w:r w:rsidR="006A7B76">
        <w:rPr>
          <w:rFonts w:ascii="Arial" w:hAnsi="Arial" w:cs="Arial"/>
          <w:sz w:val="16"/>
          <w:szCs w:val="16"/>
        </w:rPr>
        <w:t xml:space="preserve"> </w:t>
      </w:r>
      <w:r w:rsidRPr="001579EB">
        <w:rPr>
          <w:rFonts w:ascii="Arial" w:hAnsi="Arial" w:cs="Arial"/>
          <w:sz w:val="16"/>
          <w:szCs w:val="16"/>
        </w:rPr>
        <w:t>recognition of goodwill, or on the initial recognition of an asset or liability unless the related transaction is a</w:t>
      </w:r>
      <w:r w:rsidR="006A7B76">
        <w:rPr>
          <w:rFonts w:ascii="Arial" w:hAnsi="Arial" w:cs="Arial"/>
          <w:sz w:val="16"/>
          <w:szCs w:val="16"/>
        </w:rPr>
        <w:t xml:space="preserve"> </w:t>
      </w:r>
      <w:r w:rsidRPr="001579EB">
        <w:rPr>
          <w:rFonts w:ascii="Arial" w:hAnsi="Arial" w:cs="Arial"/>
          <w:sz w:val="16"/>
          <w:szCs w:val="16"/>
        </w:rPr>
        <w:t xml:space="preserve">business </w:t>
      </w:r>
      <w:r w:rsidR="00C964C9" w:rsidRPr="001579EB">
        <w:rPr>
          <w:rFonts w:ascii="Arial" w:hAnsi="Arial" w:cs="Arial"/>
          <w:sz w:val="16"/>
          <w:szCs w:val="16"/>
        </w:rPr>
        <w:t>combination</w:t>
      </w:r>
      <w:r w:rsidRPr="001579EB">
        <w:rPr>
          <w:rFonts w:ascii="Arial" w:hAnsi="Arial" w:cs="Arial"/>
          <w:sz w:val="16"/>
          <w:szCs w:val="16"/>
        </w:rPr>
        <w:t xml:space="preserve"> or affects tax or accounting profit. Deferred tax on temporary differences associated with</w:t>
      </w:r>
      <w:r w:rsidR="006A7B76">
        <w:rPr>
          <w:rFonts w:ascii="Arial" w:hAnsi="Arial" w:cs="Arial"/>
          <w:sz w:val="16"/>
          <w:szCs w:val="16"/>
        </w:rPr>
        <w:t xml:space="preserve"> </w:t>
      </w:r>
      <w:r w:rsidRPr="001579EB">
        <w:rPr>
          <w:rFonts w:ascii="Arial" w:hAnsi="Arial" w:cs="Arial"/>
          <w:sz w:val="16"/>
          <w:szCs w:val="16"/>
        </w:rPr>
        <w:t>investments in subsidiaries and joint ventures is not provided if reversal of these temporary differences can be</w:t>
      </w:r>
      <w:r w:rsidR="006A7B76">
        <w:rPr>
          <w:rFonts w:ascii="Arial" w:hAnsi="Arial" w:cs="Arial"/>
          <w:sz w:val="16"/>
          <w:szCs w:val="16"/>
        </w:rPr>
        <w:t xml:space="preserve"> </w:t>
      </w:r>
      <w:r w:rsidRPr="001579EB">
        <w:rPr>
          <w:rFonts w:ascii="Arial" w:hAnsi="Arial" w:cs="Arial"/>
          <w:sz w:val="16"/>
          <w:szCs w:val="16"/>
        </w:rPr>
        <w:t>controlled by the Corporation and it is probable that reversal will not occur in the foreseeable future.</w:t>
      </w:r>
    </w:p>
    <w:p w14:paraId="2FFCC7E2" w14:textId="77777777" w:rsidR="00750662" w:rsidRPr="001579EB" w:rsidRDefault="00750662" w:rsidP="00750662">
      <w:pPr>
        <w:autoSpaceDE w:val="0"/>
        <w:autoSpaceDN w:val="0"/>
        <w:adjustRightInd w:val="0"/>
        <w:ind w:left="851" w:right="792"/>
        <w:jc w:val="both"/>
        <w:rPr>
          <w:rFonts w:ascii="Arial" w:hAnsi="Arial" w:cs="Arial"/>
          <w:sz w:val="16"/>
          <w:szCs w:val="16"/>
        </w:rPr>
      </w:pPr>
    </w:p>
    <w:p w14:paraId="061AC162" w14:textId="008F6154" w:rsidR="005130BF" w:rsidRDefault="005130BF" w:rsidP="006A7B76">
      <w:pPr>
        <w:autoSpaceDE w:val="0"/>
        <w:autoSpaceDN w:val="0"/>
        <w:adjustRightInd w:val="0"/>
        <w:ind w:left="851" w:right="792"/>
        <w:jc w:val="both"/>
        <w:rPr>
          <w:rFonts w:ascii="Arial" w:hAnsi="Arial" w:cs="Arial"/>
          <w:sz w:val="16"/>
          <w:szCs w:val="16"/>
        </w:rPr>
      </w:pPr>
      <w:r w:rsidRPr="001579EB">
        <w:rPr>
          <w:rFonts w:ascii="Arial" w:hAnsi="Arial" w:cs="Arial"/>
          <w:sz w:val="16"/>
          <w:szCs w:val="16"/>
        </w:rPr>
        <w:t>Deferred tax assets and liabilities are calculated, without discounting, at tax rates that are expected to apply to</w:t>
      </w:r>
      <w:r w:rsidR="006A7B76">
        <w:rPr>
          <w:rFonts w:ascii="Arial" w:hAnsi="Arial" w:cs="Arial"/>
          <w:sz w:val="16"/>
          <w:szCs w:val="16"/>
        </w:rPr>
        <w:t xml:space="preserve"> </w:t>
      </w:r>
      <w:r w:rsidRPr="001579EB">
        <w:rPr>
          <w:rFonts w:ascii="Arial" w:hAnsi="Arial" w:cs="Arial"/>
          <w:sz w:val="16"/>
          <w:szCs w:val="16"/>
        </w:rPr>
        <w:t>their respective period of realization, provided they are enacted or substantively enacted by the end of the</w:t>
      </w:r>
      <w:r w:rsidR="006A7B76">
        <w:rPr>
          <w:rFonts w:ascii="Arial" w:hAnsi="Arial" w:cs="Arial"/>
          <w:sz w:val="16"/>
          <w:szCs w:val="16"/>
        </w:rPr>
        <w:t xml:space="preserve"> </w:t>
      </w:r>
      <w:r w:rsidRPr="001579EB">
        <w:rPr>
          <w:rFonts w:ascii="Arial" w:hAnsi="Arial" w:cs="Arial"/>
          <w:sz w:val="16"/>
          <w:szCs w:val="16"/>
        </w:rPr>
        <w:t>reporting period. Deferred tax liabilities are always provided for in full.</w:t>
      </w:r>
    </w:p>
    <w:p w14:paraId="0F6A12DF" w14:textId="77777777" w:rsidR="005F4526" w:rsidRPr="001579EB" w:rsidRDefault="005F4526" w:rsidP="001579EB">
      <w:pPr>
        <w:autoSpaceDE w:val="0"/>
        <w:autoSpaceDN w:val="0"/>
        <w:adjustRightInd w:val="0"/>
        <w:ind w:left="851" w:right="792"/>
        <w:jc w:val="both"/>
        <w:rPr>
          <w:rFonts w:ascii="Arial" w:hAnsi="Arial" w:cs="Arial"/>
          <w:sz w:val="16"/>
          <w:szCs w:val="16"/>
        </w:rPr>
      </w:pPr>
    </w:p>
    <w:p w14:paraId="4F47B27D" w14:textId="77777777" w:rsidR="006A7B76" w:rsidRDefault="006A7B76" w:rsidP="001579EB">
      <w:pPr>
        <w:autoSpaceDE w:val="0"/>
        <w:autoSpaceDN w:val="0"/>
        <w:adjustRightInd w:val="0"/>
        <w:ind w:left="851" w:right="792"/>
        <w:jc w:val="both"/>
        <w:rPr>
          <w:rFonts w:ascii="Arial" w:hAnsi="Arial" w:cs="Arial"/>
          <w:sz w:val="16"/>
          <w:szCs w:val="16"/>
        </w:rPr>
      </w:pPr>
    </w:p>
    <w:p w14:paraId="38E11747" w14:textId="5AC80E99" w:rsidR="005130BF" w:rsidRDefault="005130BF" w:rsidP="006A7B76">
      <w:pPr>
        <w:autoSpaceDE w:val="0"/>
        <w:autoSpaceDN w:val="0"/>
        <w:adjustRightInd w:val="0"/>
        <w:ind w:left="851" w:right="792"/>
        <w:jc w:val="both"/>
        <w:rPr>
          <w:rFonts w:ascii="Arial" w:hAnsi="Arial" w:cs="Arial"/>
          <w:sz w:val="16"/>
          <w:szCs w:val="16"/>
        </w:rPr>
      </w:pPr>
      <w:r w:rsidRPr="001579EB">
        <w:rPr>
          <w:rFonts w:ascii="Arial" w:hAnsi="Arial" w:cs="Arial"/>
          <w:sz w:val="16"/>
          <w:szCs w:val="16"/>
        </w:rPr>
        <w:t>Deferred tax assets are recognized to the extent that it is probable that they will be able to be utilised against</w:t>
      </w:r>
      <w:r w:rsidR="006A7B76">
        <w:rPr>
          <w:rFonts w:ascii="Arial" w:hAnsi="Arial" w:cs="Arial"/>
          <w:sz w:val="16"/>
          <w:szCs w:val="16"/>
        </w:rPr>
        <w:t xml:space="preserve"> </w:t>
      </w:r>
      <w:r w:rsidRPr="001579EB">
        <w:rPr>
          <w:rFonts w:ascii="Arial" w:hAnsi="Arial" w:cs="Arial"/>
          <w:sz w:val="16"/>
          <w:szCs w:val="16"/>
        </w:rPr>
        <w:t>future taxable income. To the extent that the Corporation does not consider it probable that a future tax asset</w:t>
      </w:r>
      <w:r w:rsidR="006A7B76">
        <w:rPr>
          <w:rFonts w:ascii="Arial" w:hAnsi="Arial" w:cs="Arial"/>
          <w:sz w:val="16"/>
          <w:szCs w:val="16"/>
        </w:rPr>
        <w:t xml:space="preserve"> </w:t>
      </w:r>
      <w:r w:rsidRPr="001579EB">
        <w:rPr>
          <w:rFonts w:ascii="Arial" w:hAnsi="Arial" w:cs="Arial"/>
          <w:sz w:val="16"/>
          <w:szCs w:val="16"/>
        </w:rPr>
        <w:t>will be recovered, it provides a valuation allowance against the excess.</w:t>
      </w:r>
    </w:p>
    <w:p w14:paraId="29290921" w14:textId="77777777" w:rsidR="005F4526" w:rsidRPr="001579EB" w:rsidRDefault="005F4526" w:rsidP="001579EB">
      <w:pPr>
        <w:autoSpaceDE w:val="0"/>
        <w:autoSpaceDN w:val="0"/>
        <w:adjustRightInd w:val="0"/>
        <w:ind w:left="851" w:right="792"/>
        <w:jc w:val="both"/>
        <w:rPr>
          <w:rFonts w:ascii="Arial" w:hAnsi="Arial" w:cs="Arial"/>
          <w:sz w:val="16"/>
          <w:szCs w:val="16"/>
        </w:rPr>
      </w:pPr>
    </w:p>
    <w:p w14:paraId="7089BE28" w14:textId="312F13FF" w:rsidR="005130BF" w:rsidRDefault="005130BF" w:rsidP="006A7B76">
      <w:pPr>
        <w:autoSpaceDE w:val="0"/>
        <w:autoSpaceDN w:val="0"/>
        <w:adjustRightInd w:val="0"/>
        <w:ind w:left="851" w:right="792"/>
        <w:jc w:val="both"/>
        <w:rPr>
          <w:rFonts w:ascii="Arial" w:hAnsi="Arial" w:cs="Arial"/>
          <w:sz w:val="16"/>
          <w:szCs w:val="16"/>
        </w:rPr>
      </w:pPr>
      <w:r w:rsidRPr="001579EB">
        <w:rPr>
          <w:rFonts w:ascii="Arial" w:hAnsi="Arial" w:cs="Arial"/>
          <w:sz w:val="16"/>
          <w:szCs w:val="16"/>
        </w:rPr>
        <w:t>Deferred tax assets and liabilities are offset only when the Corporation has a right and intention to offset current</w:t>
      </w:r>
      <w:r w:rsidR="006A7B76">
        <w:rPr>
          <w:rFonts w:ascii="Arial" w:hAnsi="Arial" w:cs="Arial"/>
          <w:sz w:val="16"/>
          <w:szCs w:val="16"/>
        </w:rPr>
        <w:t xml:space="preserve"> </w:t>
      </w:r>
      <w:r w:rsidRPr="001579EB">
        <w:rPr>
          <w:rFonts w:ascii="Arial" w:hAnsi="Arial" w:cs="Arial"/>
          <w:sz w:val="16"/>
          <w:szCs w:val="16"/>
        </w:rPr>
        <w:t>tax assets and liabilities from the same taxation authority.</w:t>
      </w:r>
    </w:p>
    <w:p w14:paraId="66917E7B" w14:textId="77777777" w:rsidR="005F4526" w:rsidRPr="001579EB" w:rsidRDefault="005F4526" w:rsidP="001579EB">
      <w:pPr>
        <w:autoSpaceDE w:val="0"/>
        <w:autoSpaceDN w:val="0"/>
        <w:adjustRightInd w:val="0"/>
        <w:ind w:left="851" w:right="792"/>
        <w:jc w:val="both"/>
        <w:rPr>
          <w:rFonts w:ascii="Arial" w:hAnsi="Arial" w:cs="Arial"/>
          <w:sz w:val="16"/>
          <w:szCs w:val="16"/>
        </w:rPr>
      </w:pPr>
    </w:p>
    <w:p w14:paraId="3B1811B7" w14:textId="5B1D9F07" w:rsidR="005130BF" w:rsidRPr="001579EB" w:rsidRDefault="005130BF" w:rsidP="006A7B76">
      <w:pPr>
        <w:autoSpaceDE w:val="0"/>
        <w:autoSpaceDN w:val="0"/>
        <w:adjustRightInd w:val="0"/>
        <w:ind w:left="851" w:right="792"/>
        <w:jc w:val="both"/>
        <w:rPr>
          <w:rFonts w:ascii="Arial" w:hAnsi="Arial" w:cs="Arial"/>
          <w:sz w:val="16"/>
          <w:szCs w:val="16"/>
        </w:rPr>
      </w:pPr>
      <w:r w:rsidRPr="001579EB">
        <w:rPr>
          <w:rFonts w:ascii="Arial" w:hAnsi="Arial" w:cs="Arial"/>
          <w:sz w:val="16"/>
          <w:szCs w:val="16"/>
        </w:rPr>
        <w:t>Changes in deferred tax assets or liabilities are recognized as a component of taxable income or expense in</w:t>
      </w:r>
      <w:r w:rsidR="006A7B76">
        <w:rPr>
          <w:rFonts w:ascii="Arial" w:hAnsi="Arial" w:cs="Arial"/>
          <w:sz w:val="16"/>
          <w:szCs w:val="16"/>
        </w:rPr>
        <w:t xml:space="preserve"> </w:t>
      </w:r>
      <w:r w:rsidRPr="001579EB">
        <w:rPr>
          <w:rFonts w:ascii="Arial" w:hAnsi="Arial" w:cs="Arial"/>
          <w:sz w:val="16"/>
          <w:szCs w:val="16"/>
        </w:rPr>
        <w:t>profit or loss, except where they relate to items that are recognized in other comprehensive income or directly</w:t>
      </w:r>
      <w:r w:rsidR="006A7B76">
        <w:rPr>
          <w:rFonts w:ascii="Arial" w:hAnsi="Arial" w:cs="Arial"/>
          <w:sz w:val="16"/>
          <w:szCs w:val="16"/>
        </w:rPr>
        <w:t xml:space="preserve"> </w:t>
      </w:r>
      <w:r w:rsidRPr="001579EB">
        <w:rPr>
          <w:rFonts w:ascii="Arial" w:hAnsi="Arial" w:cs="Arial"/>
          <w:sz w:val="16"/>
          <w:szCs w:val="16"/>
        </w:rPr>
        <w:t>in equity, in which case the related deferred tax is also recognized in other comprehensive income or equity,</w:t>
      </w:r>
      <w:r w:rsidR="005F4526">
        <w:rPr>
          <w:rFonts w:ascii="Arial" w:hAnsi="Arial" w:cs="Arial"/>
          <w:sz w:val="16"/>
          <w:szCs w:val="16"/>
        </w:rPr>
        <w:t xml:space="preserve"> respectively.</w:t>
      </w:r>
    </w:p>
    <w:p w14:paraId="21CCCFD4" w14:textId="77777777" w:rsidR="001E0283" w:rsidRPr="00A153FB" w:rsidRDefault="001E0283" w:rsidP="001E0283">
      <w:pPr>
        <w:autoSpaceDE w:val="0"/>
        <w:autoSpaceDN w:val="0"/>
        <w:adjustRightInd w:val="0"/>
        <w:ind w:left="851" w:right="792"/>
        <w:jc w:val="both"/>
        <w:rPr>
          <w:rFonts w:ascii="Arial" w:hAnsi="Arial" w:cs="Arial"/>
          <w:sz w:val="16"/>
          <w:szCs w:val="16"/>
        </w:rPr>
      </w:pPr>
    </w:p>
    <w:p w14:paraId="60653F7D" w14:textId="595DC975" w:rsidR="005130BF" w:rsidRPr="00A153FB" w:rsidRDefault="005130BF" w:rsidP="001579EB">
      <w:pPr>
        <w:autoSpaceDE w:val="0"/>
        <w:autoSpaceDN w:val="0"/>
        <w:adjustRightInd w:val="0"/>
        <w:ind w:left="851"/>
        <w:jc w:val="both"/>
        <w:rPr>
          <w:rFonts w:ascii="Arial" w:eastAsiaTheme="minorHAnsi" w:hAnsi="Arial" w:cs="Arial"/>
          <w:b/>
          <w:bCs/>
          <w:sz w:val="16"/>
          <w:szCs w:val="16"/>
        </w:rPr>
      </w:pPr>
      <w:r w:rsidRPr="00A153FB">
        <w:rPr>
          <w:rFonts w:ascii="Arial" w:eastAsiaTheme="minorHAnsi" w:hAnsi="Arial" w:cs="Arial"/>
          <w:b/>
          <w:bCs/>
          <w:sz w:val="16"/>
          <w:szCs w:val="16"/>
        </w:rPr>
        <w:t>Provisions</w:t>
      </w:r>
    </w:p>
    <w:p w14:paraId="7E0E0DCB" w14:textId="77777777" w:rsidR="00A7016F" w:rsidRPr="00A153FB" w:rsidRDefault="00A7016F" w:rsidP="00A7016F">
      <w:pPr>
        <w:autoSpaceDE w:val="0"/>
        <w:autoSpaceDN w:val="0"/>
        <w:adjustRightInd w:val="0"/>
        <w:ind w:left="851"/>
        <w:jc w:val="both"/>
        <w:rPr>
          <w:rFonts w:ascii="Arial" w:hAnsi="Arial" w:cs="Arial"/>
          <w:sz w:val="16"/>
          <w:szCs w:val="16"/>
        </w:rPr>
      </w:pPr>
    </w:p>
    <w:p w14:paraId="3B495F49" w14:textId="5715DDAA" w:rsidR="001D03BB" w:rsidRDefault="005130BF">
      <w:pPr>
        <w:autoSpaceDE w:val="0"/>
        <w:autoSpaceDN w:val="0"/>
        <w:adjustRightInd w:val="0"/>
        <w:ind w:left="851" w:right="792"/>
        <w:jc w:val="both"/>
        <w:rPr>
          <w:rFonts w:ascii="Arial" w:hAnsi="Arial" w:cs="Arial"/>
          <w:sz w:val="16"/>
          <w:szCs w:val="16"/>
        </w:rPr>
      </w:pPr>
      <w:r w:rsidRPr="007B7DE5">
        <w:rPr>
          <w:rFonts w:ascii="Arial" w:hAnsi="Arial" w:cs="Arial"/>
          <w:sz w:val="16"/>
          <w:szCs w:val="16"/>
        </w:rPr>
        <w:t xml:space="preserve">Provisions are recognized when the Corporation has a present obligation (legal or constructive) </w:t>
      </w:r>
      <w:proofErr w:type="gramStart"/>
      <w:r w:rsidRPr="007B7DE5">
        <w:rPr>
          <w:rFonts w:ascii="Arial" w:hAnsi="Arial" w:cs="Arial"/>
          <w:sz w:val="16"/>
          <w:szCs w:val="16"/>
        </w:rPr>
        <w:t>as a result of</w:t>
      </w:r>
      <w:proofErr w:type="gramEnd"/>
      <w:r w:rsidRPr="007B7DE5">
        <w:rPr>
          <w:rFonts w:ascii="Arial" w:hAnsi="Arial" w:cs="Arial"/>
          <w:sz w:val="16"/>
          <w:szCs w:val="16"/>
        </w:rPr>
        <w:t xml:space="preserve"> a</w:t>
      </w:r>
      <w:r w:rsidR="006A7B76">
        <w:rPr>
          <w:rFonts w:ascii="Arial" w:hAnsi="Arial" w:cs="Arial"/>
          <w:sz w:val="16"/>
          <w:szCs w:val="16"/>
        </w:rPr>
        <w:t xml:space="preserve"> </w:t>
      </w:r>
      <w:r w:rsidRPr="007B7DE5">
        <w:rPr>
          <w:rFonts w:ascii="Arial" w:hAnsi="Arial" w:cs="Arial"/>
          <w:sz w:val="16"/>
          <w:szCs w:val="16"/>
        </w:rPr>
        <w:t>past event, it is probable that an outflow of resources will be required to settle the obligation and a reliable</w:t>
      </w:r>
      <w:r w:rsidR="006A7B76">
        <w:rPr>
          <w:rFonts w:ascii="Arial" w:hAnsi="Arial" w:cs="Arial"/>
          <w:sz w:val="16"/>
          <w:szCs w:val="16"/>
        </w:rPr>
        <w:t xml:space="preserve"> </w:t>
      </w:r>
      <w:r w:rsidRPr="007B7DE5">
        <w:rPr>
          <w:rFonts w:ascii="Arial" w:hAnsi="Arial" w:cs="Arial"/>
          <w:sz w:val="16"/>
          <w:szCs w:val="16"/>
        </w:rPr>
        <w:t>estimate can be made of the amount of the obligation. The amount recognized as a provision is the best</w:t>
      </w:r>
      <w:r w:rsidR="006A7B76">
        <w:rPr>
          <w:rFonts w:ascii="Arial" w:hAnsi="Arial" w:cs="Arial"/>
          <w:sz w:val="16"/>
          <w:szCs w:val="16"/>
        </w:rPr>
        <w:t xml:space="preserve"> </w:t>
      </w:r>
      <w:r w:rsidRPr="007B7DE5">
        <w:rPr>
          <w:rFonts w:ascii="Arial" w:hAnsi="Arial" w:cs="Arial"/>
          <w:sz w:val="16"/>
          <w:szCs w:val="16"/>
        </w:rPr>
        <w:t xml:space="preserve">estimate of the </w:t>
      </w:r>
      <w:r w:rsidR="001D03BB" w:rsidRPr="007B7DE5">
        <w:rPr>
          <w:rFonts w:ascii="Arial" w:hAnsi="Arial" w:cs="Arial"/>
          <w:sz w:val="16"/>
          <w:szCs w:val="16"/>
        </w:rPr>
        <w:t>consideration required to settle the present obligation at the end of the reporting period. If the</w:t>
      </w:r>
      <w:r w:rsidR="001D03BB">
        <w:rPr>
          <w:rFonts w:ascii="Arial" w:hAnsi="Arial" w:cs="Arial"/>
          <w:sz w:val="16"/>
          <w:szCs w:val="16"/>
        </w:rPr>
        <w:t xml:space="preserve"> </w:t>
      </w:r>
      <w:r w:rsidR="001D03BB" w:rsidRPr="007B7DE5">
        <w:rPr>
          <w:rFonts w:ascii="Arial" w:hAnsi="Arial" w:cs="Arial"/>
          <w:sz w:val="16"/>
          <w:szCs w:val="16"/>
        </w:rPr>
        <w:t>effect of the time value of money is material, provisions are determined by discounting the expected future</w:t>
      </w:r>
      <w:r w:rsidR="001D03BB">
        <w:rPr>
          <w:rFonts w:ascii="Arial" w:hAnsi="Arial" w:cs="Arial"/>
          <w:sz w:val="16"/>
          <w:szCs w:val="16"/>
        </w:rPr>
        <w:t xml:space="preserve"> </w:t>
      </w:r>
      <w:r w:rsidR="001D03BB" w:rsidRPr="007B7DE5">
        <w:rPr>
          <w:rFonts w:ascii="Arial" w:hAnsi="Arial" w:cs="Arial"/>
          <w:sz w:val="16"/>
          <w:szCs w:val="16"/>
        </w:rPr>
        <w:t>cash flows at a pre-tax rate that reflects current market assessments of the time value of money and, where</w:t>
      </w:r>
      <w:r w:rsidR="001D03BB">
        <w:rPr>
          <w:rFonts w:ascii="Arial" w:hAnsi="Arial" w:cs="Arial"/>
          <w:sz w:val="16"/>
          <w:szCs w:val="16"/>
        </w:rPr>
        <w:t xml:space="preserve"> </w:t>
      </w:r>
      <w:r w:rsidR="001D03BB" w:rsidRPr="007B7DE5">
        <w:rPr>
          <w:rFonts w:ascii="Arial" w:hAnsi="Arial" w:cs="Arial"/>
          <w:sz w:val="16"/>
          <w:szCs w:val="16"/>
        </w:rPr>
        <w:t>appropriate, the risks specific to the liability. Where discounting is used, the increase in the provision due to the</w:t>
      </w:r>
      <w:r w:rsidR="001D03BB">
        <w:rPr>
          <w:rFonts w:ascii="Arial" w:hAnsi="Arial" w:cs="Arial"/>
          <w:sz w:val="16"/>
          <w:szCs w:val="16"/>
        </w:rPr>
        <w:t xml:space="preserve"> </w:t>
      </w:r>
      <w:r w:rsidR="001D03BB" w:rsidRPr="007B7DE5">
        <w:rPr>
          <w:rFonts w:ascii="Arial" w:hAnsi="Arial" w:cs="Arial"/>
          <w:sz w:val="16"/>
          <w:szCs w:val="16"/>
        </w:rPr>
        <w:t>passage of time is recognized as a finance cost. Contingent liabilities are not recognized in the financial</w:t>
      </w:r>
      <w:r w:rsidR="001D03BB">
        <w:rPr>
          <w:rFonts w:ascii="Arial" w:hAnsi="Arial" w:cs="Arial"/>
          <w:sz w:val="16"/>
          <w:szCs w:val="16"/>
        </w:rPr>
        <w:t xml:space="preserve"> </w:t>
      </w:r>
      <w:r w:rsidR="001D03BB" w:rsidRPr="007B7DE5">
        <w:rPr>
          <w:rFonts w:ascii="Arial" w:hAnsi="Arial" w:cs="Arial"/>
          <w:sz w:val="16"/>
          <w:szCs w:val="16"/>
        </w:rPr>
        <w:t>statements, if not estimable and probable, and are disclosed in notes to the financial information unless their</w:t>
      </w:r>
      <w:r w:rsidR="001D03BB">
        <w:rPr>
          <w:rFonts w:ascii="Arial" w:hAnsi="Arial" w:cs="Arial"/>
          <w:sz w:val="16"/>
          <w:szCs w:val="16"/>
        </w:rPr>
        <w:t xml:space="preserve"> </w:t>
      </w:r>
      <w:r w:rsidR="001D03BB" w:rsidRPr="007B7DE5">
        <w:rPr>
          <w:rFonts w:ascii="Arial" w:hAnsi="Arial" w:cs="Arial"/>
          <w:sz w:val="16"/>
          <w:szCs w:val="16"/>
        </w:rPr>
        <w:t xml:space="preserve">occurrence is remote. Contingent assets are not recognized in the financial </w:t>
      </w:r>
      <w:r w:rsidR="00AA20F7" w:rsidRPr="007B7DE5">
        <w:rPr>
          <w:rFonts w:ascii="Arial" w:hAnsi="Arial" w:cs="Arial"/>
          <w:sz w:val="16"/>
          <w:szCs w:val="16"/>
        </w:rPr>
        <w:t>statements but</w:t>
      </w:r>
      <w:r w:rsidR="001D03BB" w:rsidRPr="007B7DE5">
        <w:rPr>
          <w:rFonts w:ascii="Arial" w:hAnsi="Arial" w:cs="Arial"/>
          <w:sz w:val="16"/>
          <w:szCs w:val="16"/>
        </w:rPr>
        <w:t xml:space="preserve"> are disclosed in the</w:t>
      </w:r>
      <w:r w:rsidR="001D03BB">
        <w:rPr>
          <w:rFonts w:ascii="Arial" w:hAnsi="Arial" w:cs="Arial"/>
          <w:sz w:val="16"/>
          <w:szCs w:val="16"/>
        </w:rPr>
        <w:t xml:space="preserve"> </w:t>
      </w:r>
      <w:r w:rsidR="001D03BB" w:rsidRPr="007B7DE5">
        <w:rPr>
          <w:rFonts w:ascii="Arial" w:hAnsi="Arial" w:cs="Arial"/>
          <w:sz w:val="16"/>
          <w:szCs w:val="16"/>
        </w:rPr>
        <w:t>notes if their recovery is deemed probable.</w:t>
      </w:r>
    </w:p>
    <w:p w14:paraId="494DABCA" w14:textId="77777777" w:rsidR="001E0283" w:rsidRPr="00A153FB" w:rsidRDefault="001E0283" w:rsidP="001E0283">
      <w:pPr>
        <w:autoSpaceDE w:val="0"/>
        <w:autoSpaceDN w:val="0"/>
        <w:adjustRightInd w:val="0"/>
        <w:ind w:left="851" w:right="792"/>
        <w:jc w:val="both"/>
        <w:rPr>
          <w:rFonts w:ascii="Arial" w:hAnsi="Arial" w:cs="Arial"/>
          <w:sz w:val="16"/>
          <w:szCs w:val="16"/>
        </w:rPr>
      </w:pPr>
    </w:p>
    <w:p w14:paraId="1B1717B9" w14:textId="10868EDD" w:rsidR="005130BF" w:rsidRDefault="005130BF" w:rsidP="007B7DE5">
      <w:pPr>
        <w:autoSpaceDE w:val="0"/>
        <w:autoSpaceDN w:val="0"/>
        <w:adjustRightInd w:val="0"/>
        <w:ind w:left="851"/>
        <w:jc w:val="both"/>
        <w:rPr>
          <w:rFonts w:ascii="Arial" w:eastAsiaTheme="minorHAnsi" w:hAnsi="Arial" w:cs="Arial"/>
          <w:sz w:val="16"/>
          <w:szCs w:val="16"/>
          <w:u w:val="single"/>
        </w:rPr>
      </w:pPr>
      <w:r w:rsidRPr="005130BF">
        <w:rPr>
          <w:rFonts w:ascii="Arial" w:eastAsiaTheme="minorHAnsi" w:hAnsi="Arial" w:cs="Arial"/>
          <w:sz w:val="16"/>
          <w:szCs w:val="16"/>
          <w:u w:val="single"/>
        </w:rPr>
        <w:t>Environmental rehabilitation provision</w:t>
      </w:r>
    </w:p>
    <w:p w14:paraId="7C341E93" w14:textId="77777777" w:rsidR="00A7016F" w:rsidRPr="00A153FB" w:rsidRDefault="00A7016F" w:rsidP="00A7016F">
      <w:pPr>
        <w:autoSpaceDE w:val="0"/>
        <w:autoSpaceDN w:val="0"/>
        <w:adjustRightInd w:val="0"/>
        <w:ind w:left="851"/>
        <w:jc w:val="both"/>
        <w:rPr>
          <w:rFonts w:ascii="Arial" w:hAnsi="Arial" w:cs="Arial"/>
          <w:sz w:val="16"/>
          <w:szCs w:val="16"/>
        </w:rPr>
      </w:pPr>
    </w:p>
    <w:p w14:paraId="45EE491C" w14:textId="77777777" w:rsidR="00CD20E7" w:rsidRDefault="005130BF">
      <w:pPr>
        <w:autoSpaceDE w:val="0"/>
        <w:autoSpaceDN w:val="0"/>
        <w:adjustRightInd w:val="0"/>
        <w:ind w:left="851" w:right="792"/>
        <w:jc w:val="both"/>
        <w:rPr>
          <w:rFonts w:ascii="Arial" w:hAnsi="Arial" w:cs="Arial"/>
          <w:sz w:val="16"/>
          <w:szCs w:val="16"/>
        </w:rPr>
      </w:pPr>
      <w:r w:rsidRPr="007B7DE5">
        <w:rPr>
          <w:rFonts w:ascii="Arial" w:hAnsi="Arial" w:cs="Arial"/>
          <w:sz w:val="16"/>
          <w:szCs w:val="16"/>
        </w:rPr>
        <w:t>Provisions for environmental rehabilitation are made in respect of the estimated future costs of closure and</w:t>
      </w:r>
      <w:r w:rsidR="006A7B76">
        <w:rPr>
          <w:rFonts w:ascii="Arial" w:hAnsi="Arial" w:cs="Arial"/>
          <w:sz w:val="16"/>
          <w:szCs w:val="16"/>
        </w:rPr>
        <w:t xml:space="preserve"> </w:t>
      </w:r>
      <w:r w:rsidRPr="007B7DE5">
        <w:rPr>
          <w:rFonts w:ascii="Arial" w:hAnsi="Arial" w:cs="Arial"/>
          <w:sz w:val="16"/>
          <w:szCs w:val="16"/>
        </w:rPr>
        <w:t>restoration and for environmental rehabilitation costs (which include the dismantling and demolition of</w:t>
      </w:r>
      <w:r w:rsidR="006A7B76">
        <w:rPr>
          <w:rFonts w:ascii="Arial" w:hAnsi="Arial" w:cs="Arial"/>
          <w:sz w:val="16"/>
          <w:szCs w:val="16"/>
        </w:rPr>
        <w:t xml:space="preserve"> </w:t>
      </w:r>
      <w:r w:rsidRPr="007B7DE5">
        <w:rPr>
          <w:rFonts w:ascii="Arial" w:hAnsi="Arial" w:cs="Arial"/>
          <w:sz w:val="16"/>
          <w:szCs w:val="16"/>
        </w:rPr>
        <w:t>infrastructure, removal of residual materials and remediation of disturbed areas) in the accounting period when</w:t>
      </w:r>
      <w:r w:rsidR="006A7B76">
        <w:rPr>
          <w:rFonts w:ascii="Arial" w:hAnsi="Arial" w:cs="Arial"/>
          <w:sz w:val="16"/>
          <w:szCs w:val="16"/>
        </w:rPr>
        <w:t xml:space="preserve"> </w:t>
      </w:r>
      <w:r w:rsidRPr="007B7DE5">
        <w:rPr>
          <w:rFonts w:ascii="Arial" w:hAnsi="Arial" w:cs="Arial"/>
          <w:sz w:val="16"/>
          <w:szCs w:val="16"/>
        </w:rPr>
        <w:t>the related environmental disturbance occurs. The provision is discounted using a pre-tax rate, and the</w:t>
      </w:r>
      <w:r w:rsidR="006A7B76">
        <w:rPr>
          <w:rFonts w:ascii="Arial" w:hAnsi="Arial" w:cs="Arial"/>
          <w:sz w:val="16"/>
          <w:szCs w:val="16"/>
        </w:rPr>
        <w:t xml:space="preserve"> </w:t>
      </w:r>
      <w:r w:rsidRPr="007B7DE5">
        <w:rPr>
          <w:rFonts w:ascii="Arial" w:hAnsi="Arial" w:cs="Arial"/>
          <w:sz w:val="16"/>
          <w:szCs w:val="16"/>
        </w:rPr>
        <w:t>unwinding of the discount is included in finance costs. At the time of establishing the provision, a corresponding</w:t>
      </w:r>
      <w:r w:rsidR="006A7B76">
        <w:rPr>
          <w:rFonts w:ascii="Arial" w:hAnsi="Arial" w:cs="Arial"/>
          <w:sz w:val="16"/>
          <w:szCs w:val="16"/>
        </w:rPr>
        <w:t xml:space="preserve"> </w:t>
      </w:r>
      <w:r w:rsidRPr="007B7DE5">
        <w:rPr>
          <w:rFonts w:ascii="Arial" w:hAnsi="Arial" w:cs="Arial"/>
          <w:sz w:val="16"/>
          <w:szCs w:val="16"/>
        </w:rPr>
        <w:t>asset is capitalized and is depreciated over future production from the mining property to which it relates. The</w:t>
      </w:r>
      <w:r w:rsidR="006A7B76">
        <w:rPr>
          <w:rFonts w:ascii="Arial" w:hAnsi="Arial" w:cs="Arial"/>
          <w:sz w:val="16"/>
          <w:szCs w:val="16"/>
        </w:rPr>
        <w:t xml:space="preserve"> </w:t>
      </w:r>
      <w:r w:rsidRPr="007B7DE5">
        <w:rPr>
          <w:rFonts w:ascii="Arial" w:hAnsi="Arial" w:cs="Arial"/>
          <w:sz w:val="16"/>
          <w:szCs w:val="16"/>
        </w:rPr>
        <w:t>provision is reviewed on an annual basis for changes in cost estimates, discount rates and operating lives.</w:t>
      </w:r>
      <w:r w:rsidR="006A7B76">
        <w:rPr>
          <w:rFonts w:ascii="Arial" w:hAnsi="Arial" w:cs="Arial"/>
          <w:sz w:val="16"/>
          <w:szCs w:val="16"/>
        </w:rPr>
        <w:t xml:space="preserve"> </w:t>
      </w:r>
      <w:r w:rsidRPr="007B7DE5">
        <w:rPr>
          <w:rFonts w:ascii="Arial" w:hAnsi="Arial" w:cs="Arial"/>
          <w:sz w:val="16"/>
          <w:szCs w:val="16"/>
        </w:rPr>
        <w:t>Changes to estimated future</w:t>
      </w:r>
      <w:r w:rsidR="001D03BB">
        <w:rPr>
          <w:rFonts w:ascii="Arial" w:hAnsi="Arial" w:cs="Arial"/>
          <w:sz w:val="16"/>
          <w:szCs w:val="16"/>
        </w:rPr>
        <w:t xml:space="preserve"> </w:t>
      </w:r>
      <w:r w:rsidRPr="007B7DE5">
        <w:rPr>
          <w:rFonts w:ascii="Arial" w:hAnsi="Arial" w:cs="Arial"/>
          <w:sz w:val="16"/>
          <w:szCs w:val="16"/>
        </w:rPr>
        <w:t>costs are recognized in the statement of financial position by adjusting the</w:t>
      </w:r>
      <w:r w:rsidR="006A7B76">
        <w:rPr>
          <w:rFonts w:ascii="Arial" w:hAnsi="Arial" w:cs="Arial"/>
          <w:sz w:val="16"/>
          <w:szCs w:val="16"/>
        </w:rPr>
        <w:t xml:space="preserve"> </w:t>
      </w:r>
      <w:r w:rsidRPr="007B7DE5">
        <w:rPr>
          <w:rFonts w:ascii="Arial" w:hAnsi="Arial" w:cs="Arial"/>
          <w:sz w:val="16"/>
          <w:szCs w:val="16"/>
        </w:rPr>
        <w:t>rehabilitation asset and liability. If, for mature mines, the revised mine assets net of rehabilitation provisions</w:t>
      </w:r>
      <w:r w:rsidR="006A7B76">
        <w:rPr>
          <w:rFonts w:ascii="Arial" w:hAnsi="Arial" w:cs="Arial"/>
          <w:sz w:val="16"/>
          <w:szCs w:val="16"/>
        </w:rPr>
        <w:t xml:space="preserve"> </w:t>
      </w:r>
      <w:r w:rsidRPr="007B7DE5">
        <w:rPr>
          <w:rFonts w:ascii="Arial" w:hAnsi="Arial" w:cs="Arial"/>
          <w:sz w:val="16"/>
          <w:szCs w:val="16"/>
        </w:rPr>
        <w:t xml:space="preserve">exceeds the carrying value, that portion of the </w:t>
      </w:r>
    </w:p>
    <w:p w14:paraId="454D5761" w14:textId="77777777" w:rsidR="00CD20E7" w:rsidRDefault="00CD20E7">
      <w:pPr>
        <w:autoSpaceDE w:val="0"/>
        <w:autoSpaceDN w:val="0"/>
        <w:adjustRightInd w:val="0"/>
        <w:ind w:left="851" w:right="792"/>
        <w:jc w:val="both"/>
        <w:rPr>
          <w:rFonts w:ascii="Arial" w:hAnsi="Arial" w:cs="Arial"/>
          <w:sz w:val="16"/>
          <w:szCs w:val="16"/>
        </w:rPr>
      </w:pPr>
    </w:p>
    <w:p w14:paraId="4E9F9F26" w14:textId="6177A04B" w:rsidR="005130BF" w:rsidRPr="007B7DE5" w:rsidRDefault="005130BF">
      <w:pPr>
        <w:autoSpaceDE w:val="0"/>
        <w:autoSpaceDN w:val="0"/>
        <w:adjustRightInd w:val="0"/>
        <w:ind w:left="851" w:right="792"/>
        <w:jc w:val="both"/>
        <w:rPr>
          <w:rFonts w:ascii="Arial" w:hAnsi="Arial" w:cs="Arial"/>
          <w:sz w:val="16"/>
          <w:szCs w:val="16"/>
        </w:rPr>
      </w:pPr>
      <w:r w:rsidRPr="007B7DE5">
        <w:rPr>
          <w:rFonts w:ascii="Arial" w:hAnsi="Arial" w:cs="Arial"/>
          <w:sz w:val="16"/>
          <w:szCs w:val="16"/>
        </w:rPr>
        <w:t>increase is charged directly to expenses. For closed sites,</w:t>
      </w:r>
      <w:r w:rsidR="006A7B76">
        <w:rPr>
          <w:rFonts w:ascii="Arial" w:hAnsi="Arial" w:cs="Arial"/>
          <w:sz w:val="16"/>
          <w:szCs w:val="16"/>
        </w:rPr>
        <w:t xml:space="preserve"> </w:t>
      </w:r>
      <w:r w:rsidRPr="007B7DE5">
        <w:rPr>
          <w:rFonts w:ascii="Arial" w:hAnsi="Arial" w:cs="Arial"/>
          <w:sz w:val="16"/>
          <w:szCs w:val="16"/>
        </w:rPr>
        <w:t>changes to estimated costs are recognized immediately in the profit and loss.</w:t>
      </w:r>
    </w:p>
    <w:p w14:paraId="1C86057C" w14:textId="77777777" w:rsidR="00A7016F" w:rsidRPr="00A153FB" w:rsidRDefault="00A7016F" w:rsidP="00A7016F">
      <w:pPr>
        <w:autoSpaceDE w:val="0"/>
        <w:autoSpaceDN w:val="0"/>
        <w:adjustRightInd w:val="0"/>
        <w:ind w:left="851"/>
        <w:jc w:val="both"/>
        <w:rPr>
          <w:rFonts w:ascii="Arial" w:hAnsi="Arial" w:cs="Arial"/>
          <w:sz w:val="16"/>
          <w:szCs w:val="16"/>
        </w:rPr>
      </w:pPr>
    </w:p>
    <w:p w14:paraId="5CA95918" w14:textId="7D287BBF" w:rsidR="005130BF" w:rsidRPr="00CA366F" w:rsidRDefault="005130BF" w:rsidP="00A7016F">
      <w:pPr>
        <w:autoSpaceDE w:val="0"/>
        <w:autoSpaceDN w:val="0"/>
        <w:adjustRightInd w:val="0"/>
        <w:ind w:left="851"/>
        <w:jc w:val="both"/>
        <w:rPr>
          <w:rFonts w:ascii="Arial" w:eastAsiaTheme="minorHAnsi" w:hAnsi="Arial" w:cs="Arial"/>
          <w:b/>
          <w:bCs/>
          <w:sz w:val="16"/>
          <w:szCs w:val="16"/>
        </w:rPr>
      </w:pPr>
      <w:r w:rsidRPr="00CA366F">
        <w:rPr>
          <w:rFonts w:ascii="Arial" w:eastAsiaTheme="minorHAnsi" w:hAnsi="Arial" w:cs="Arial"/>
          <w:b/>
          <w:bCs/>
          <w:sz w:val="16"/>
          <w:szCs w:val="16"/>
        </w:rPr>
        <w:t>Loss per share</w:t>
      </w:r>
    </w:p>
    <w:p w14:paraId="40050B0F" w14:textId="77777777" w:rsidR="00A7016F" w:rsidRPr="00A153FB" w:rsidRDefault="00A7016F" w:rsidP="00A7016F">
      <w:pPr>
        <w:autoSpaceDE w:val="0"/>
        <w:autoSpaceDN w:val="0"/>
        <w:adjustRightInd w:val="0"/>
        <w:ind w:left="851"/>
        <w:jc w:val="both"/>
        <w:rPr>
          <w:rFonts w:ascii="Arial" w:hAnsi="Arial" w:cs="Arial"/>
          <w:sz w:val="16"/>
          <w:szCs w:val="16"/>
        </w:rPr>
      </w:pPr>
    </w:p>
    <w:p w14:paraId="4C0AD0E4" w14:textId="2985520D" w:rsidR="005130BF" w:rsidRPr="007B7DE5" w:rsidRDefault="005130BF" w:rsidP="00A7016F">
      <w:pPr>
        <w:autoSpaceDE w:val="0"/>
        <w:autoSpaceDN w:val="0"/>
        <w:adjustRightInd w:val="0"/>
        <w:ind w:left="851" w:right="792"/>
        <w:jc w:val="both"/>
        <w:rPr>
          <w:rFonts w:ascii="Arial" w:hAnsi="Arial" w:cs="Arial"/>
          <w:sz w:val="16"/>
          <w:szCs w:val="16"/>
        </w:rPr>
      </w:pPr>
      <w:r w:rsidRPr="007B7DE5">
        <w:rPr>
          <w:rFonts w:ascii="Arial" w:hAnsi="Arial" w:cs="Arial"/>
          <w:sz w:val="16"/>
          <w:szCs w:val="16"/>
        </w:rPr>
        <w:t>The Corporation presents basic and diluted loss per share data for its common shares, calculated by dividing</w:t>
      </w:r>
      <w:r w:rsidR="006A7B76">
        <w:rPr>
          <w:rFonts w:ascii="Arial" w:hAnsi="Arial" w:cs="Arial"/>
          <w:sz w:val="16"/>
          <w:szCs w:val="16"/>
        </w:rPr>
        <w:t xml:space="preserve"> </w:t>
      </w:r>
      <w:r w:rsidRPr="007B7DE5">
        <w:rPr>
          <w:rFonts w:ascii="Arial" w:hAnsi="Arial" w:cs="Arial"/>
          <w:sz w:val="16"/>
          <w:szCs w:val="16"/>
        </w:rPr>
        <w:t>the loss attributable to common shareholders of the Corporation by the weighted average number of common</w:t>
      </w:r>
      <w:r w:rsidR="006A7B76">
        <w:rPr>
          <w:rFonts w:ascii="Arial" w:hAnsi="Arial" w:cs="Arial"/>
          <w:sz w:val="16"/>
          <w:szCs w:val="16"/>
        </w:rPr>
        <w:t xml:space="preserve"> </w:t>
      </w:r>
      <w:r w:rsidRPr="007B7DE5">
        <w:rPr>
          <w:rFonts w:ascii="Arial" w:hAnsi="Arial" w:cs="Arial"/>
          <w:sz w:val="16"/>
          <w:szCs w:val="16"/>
        </w:rPr>
        <w:t>shares outstanding during the period. Diluted loss per share is determined by adjusting the profit or loss</w:t>
      </w:r>
      <w:r w:rsidR="006A7B76">
        <w:rPr>
          <w:rFonts w:ascii="Arial" w:hAnsi="Arial" w:cs="Arial"/>
          <w:sz w:val="16"/>
          <w:szCs w:val="16"/>
        </w:rPr>
        <w:t xml:space="preserve"> </w:t>
      </w:r>
      <w:r w:rsidRPr="007B7DE5">
        <w:rPr>
          <w:rFonts w:ascii="Arial" w:hAnsi="Arial" w:cs="Arial"/>
          <w:sz w:val="16"/>
          <w:szCs w:val="16"/>
        </w:rPr>
        <w:t>attributable to common shareholders and the weighted average number of common shares outstanding for the</w:t>
      </w:r>
      <w:r w:rsidR="006A7B76">
        <w:rPr>
          <w:rFonts w:ascii="Arial" w:hAnsi="Arial" w:cs="Arial"/>
          <w:sz w:val="16"/>
          <w:szCs w:val="16"/>
        </w:rPr>
        <w:t xml:space="preserve"> </w:t>
      </w:r>
      <w:r w:rsidRPr="007B7DE5">
        <w:rPr>
          <w:rFonts w:ascii="Arial" w:hAnsi="Arial" w:cs="Arial"/>
          <w:sz w:val="16"/>
          <w:szCs w:val="16"/>
        </w:rPr>
        <w:t>effects of all dilutive potential common shares.</w:t>
      </w:r>
    </w:p>
    <w:p w14:paraId="7685FAF0" w14:textId="77777777" w:rsidR="00A7016F" w:rsidRPr="00A153FB" w:rsidRDefault="00A7016F" w:rsidP="00A7016F">
      <w:pPr>
        <w:autoSpaceDE w:val="0"/>
        <w:autoSpaceDN w:val="0"/>
        <w:adjustRightInd w:val="0"/>
        <w:ind w:left="851"/>
        <w:jc w:val="both"/>
        <w:rPr>
          <w:rFonts w:ascii="Arial" w:hAnsi="Arial" w:cs="Arial"/>
          <w:sz w:val="16"/>
          <w:szCs w:val="16"/>
        </w:rPr>
      </w:pPr>
    </w:p>
    <w:p w14:paraId="55FC9D5C" w14:textId="16295005" w:rsidR="005130BF" w:rsidRPr="00CA366F" w:rsidRDefault="005130BF" w:rsidP="00A7016F">
      <w:pPr>
        <w:autoSpaceDE w:val="0"/>
        <w:autoSpaceDN w:val="0"/>
        <w:adjustRightInd w:val="0"/>
        <w:ind w:left="851"/>
        <w:jc w:val="both"/>
        <w:rPr>
          <w:rFonts w:ascii="Arial" w:eastAsiaTheme="minorHAnsi" w:hAnsi="Arial" w:cs="Arial"/>
          <w:b/>
          <w:bCs/>
          <w:sz w:val="16"/>
          <w:szCs w:val="16"/>
        </w:rPr>
      </w:pPr>
      <w:r w:rsidRPr="00CA366F">
        <w:rPr>
          <w:rFonts w:ascii="Arial" w:eastAsiaTheme="minorHAnsi" w:hAnsi="Arial" w:cs="Arial"/>
          <w:b/>
          <w:bCs/>
          <w:sz w:val="16"/>
          <w:szCs w:val="16"/>
        </w:rPr>
        <w:t>Interest</w:t>
      </w:r>
    </w:p>
    <w:p w14:paraId="0CF8CE0A" w14:textId="77777777" w:rsidR="00A7016F" w:rsidRPr="00A153FB" w:rsidRDefault="00A7016F" w:rsidP="00A7016F">
      <w:pPr>
        <w:autoSpaceDE w:val="0"/>
        <w:autoSpaceDN w:val="0"/>
        <w:adjustRightInd w:val="0"/>
        <w:ind w:left="851"/>
        <w:jc w:val="both"/>
        <w:rPr>
          <w:rFonts w:ascii="Arial" w:hAnsi="Arial" w:cs="Arial"/>
          <w:sz w:val="16"/>
          <w:szCs w:val="16"/>
        </w:rPr>
      </w:pPr>
    </w:p>
    <w:p w14:paraId="572DA6CA" w14:textId="03507426" w:rsidR="005130BF" w:rsidRDefault="005130BF" w:rsidP="00A7016F">
      <w:pPr>
        <w:autoSpaceDE w:val="0"/>
        <w:autoSpaceDN w:val="0"/>
        <w:adjustRightInd w:val="0"/>
        <w:ind w:left="851" w:right="792"/>
        <w:jc w:val="both"/>
        <w:rPr>
          <w:rFonts w:ascii="Arial" w:hAnsi="Arial" w:cs="Arial"/>
          <w:sz w:val="16"/>
          <w:szCs w:val="16"/>
        </w:rPr>
      </w:pPr>
      <w:r w:rsidRPr="007B7DE5">
        <w:rPr>
          <w:rFonts w:ascii="Arial" w:hAnsi="Arial" w:cs="Arial"/>
          <w:sz w:val="16"/>
          <w:szCs w:val="16"/>
        </w:rPr>
        <w:t>Interest income and expenses are reported on an accrual basis using the effective interest method.</w:t>
      </w:r>
    </w:p>
    <w:p w14:paraId="7517E087" w14:textId="2DAC37F5" w:rsidR="001F1E3D" w:rsidRDefault="001F1E3D">
      <w:pPr>
        <w:widowControl w:val="0"/>
        <w:autoSpaceDE w:val="0"/>
        <w:autoSpaceDN w:val="0"/>
        <w:rPr>
          <w:rFonts w:ascii="Arial" w:hAnsi="Arial" w:cs="Arial"/>
          <w:sz w:val="16"/>
          <w:szCs w:val="16"/>
        </w:rPr>
      </w:pPr>
      <w:r>
        <w:rPr>
          <w:rFonts w:ascii="Arial" w:hAnsi="Arial" w:cs="Arial"/>
          <w:sz w:val="16"/>
          <w:szCs w:val="16"/>
        </w:rPr>
        <w:br w:type="page"/>
      </w:r>
    </w:p>
    <w:p w14:paraId="42EB7AFC" w14:textId="77777777" w:rsidR="00A153FB" w:rsidRDefault="00A153FB" w:rsidP="007B7DE5">
      <w:pPr>
        <w:autoSpaceDE w:val="0"/>
        <w:autoSpaceDN w:val="0"/>
        <w:adjustRightInd w:val="0"/>
        <w:ind w:left="851" w:right="792"/>
        <w:jc w:val="both"/>
        <w:rPr>
          <w:rFonts w:ascii="Arial" w:hAnsi="Arial" w:cs="Arial"/>
          <w:sz w:val="16"/>
          <w:szCs w:val="16"/>
        </w:rPr>
      </w:pPr>
    </w:p>
    <w:p w14:paraId="12A3526E" w14:textId="77777777" w:rsidR="001F1E3D" w:rsidRDefault="001F1E3D" w:rsidP="001E0283">
      <w:pPr>
        <w:autoSpaceDE w:val="0"/>
        <w:autoSpaceDN w:val="0"/>
        <w:adjustRightInd w:val="0"/>
        <w:ind w:left="851" w:right="794"/>
        <w:jc w:val="both"/>
        <w:rPr>
          <w:rFonts w:ascii="Arial" w:hAnsi="Arial" w:cs="Arial"/>
          <w:sz w:val="16"/>
          <w:szCs w:val="16"/>
        </w:rPr>
      </w:pPr>
    </w:p>
    <w:p w14:paraId="5D87E05D" w14:textId="77777777" w:rsidR="001E0283" w:rsidRPr="00A153FB" w:rsidRDefault="005130BF" w:rsidP="001E0283">
      <w:pPr>
        <w:autoSpaceDE w:val="0"/>
        <w:autoSpaceDN w:val="0"/>
        <w:adjustRightInd w:val="0"/>
        <w:ind w:left="851" w:right="794"/>
        <w:jc w:val="both"/>
        <w:rPr>
          <w:rFonts w:ascii="Arial" w:hAnsi="Arial" w:cs="Arial"/>
          <w:sz w:val="16"/>
          <w:szCs w:val="16"/>
        </w:rPr>
      </w:pPr>
      <w:r w:rsidRPr="00CA366F">
        <w:rPr>
          <w:rFonts w:ascii="Arial" w:eastAsiaTheme="minorHAnsi" w:hAnsi="Arial" w:cs="Arial"/>
          <w:b/>
          <w:bCs/>
          <w:sz w:val="16"/>
          <w:szCs w:val="16"/>
        </w:rPr>
        <w:t>Operating expenses</w:t>
      </w:r>
    </w:p>
    <w:p w14:paraId="51C120C7" w14:textId="40B745DF" w:rsidR="00A7016F" w:rsidRPr="00A153FB" w:rsidRDefault="00A7016F" w:rsidP="001E0283">
      <w:pPr>
        <w:autoSpaceDE w:val="0"/>
        <w:autoSpaceDN w:val="0"/>
        <w:adjustRightInd w:val="0"/>
        <w:ind w:left="851" w:rightChars="794" w:right="1906"/>
        <w:jc w:val="both"/>
        <w:rPr>
          <w:rFonts w:ascii="Arial" w:hAnsi="Arial" w:cs="Arial"/>
          <w:sz w:val="16"/>
          <w:szCs w:val="16"/>
        </w:rPr>
      </w:pPr>
    </w:p>
    <w:p w14:paraId="7939C212" w14:textId="616BA2EA" w:rsidR="005130BF" w:rsidRDefault="005130BF" w:rsidP="001E0283">
      <w:pPr>
        <w:pStyle w:val="BodyText"/>
        <w:adjustRightInd w:val="0"/>
        <w:ind w:left="851" w:rightChars="794" w:right="1906"/>
        <w:jc w:val="both"/>
        <w:rPr>
          <w:rFonts w:ascii="Arial" w:eastAsiaTheme="minorHAnsi" w:hAnsi="Arial" w:cs="Arial"/>
        </w:rPr>
      </w:pPr>
      <w:r w:rsidRPr="007B7DE5">
        <w:rPr>
          <w:rFonts w:ascii="Arial" w:hAnsi="Arial" w:cs="Arial"/>
        </w:rPr>
        <w:t>Operating expenses are recognized in profit or loss upon utilization of the service or at the date of their origin</w:t>
      </w:r>
      <w:r>
        <w:rPr>
          <w:rFonts w:ascii="Arial" w:eastAsiaTheme="minorHAnsi" w:hAnsi="Arial" w:cs="Arial"/>
        </w:rPr>
        <w:t>.</w:t>
      </w:r>
    </w:p>
    <w:p w14:paraId="45868620" w14:textId="77777777" w:rsidR="00A153FB" w:rsidRDefault="00A153FB" w:rsidP="001E0283">
      <w:pPr>
        <w:pStyle w:val="BodyText"/>
        <w:adjustRightInd w:val="0"/>
        <w:ind w:left="851" w:rightChars="794" w:right="1906"/>
        <w:jc w:val="both"/>
        <w:rPr>
          <w:rFonts w:ascii="Arial" w:eastAsiaTheme="minorHAnsi" w:hAnsi="Arial" w:cs="Arial"/>
        </w:rPr>
      </w:pPr>
    </w:p>
    <w:p w14:paraId="28F98783" w14:textId="4918EDCF" w:rsidR="005130BF" w:rsidRPr="00CA366F" w:rsidRDefault="005130BF" w:rsidP="001E0283">
      <w:pPr>
        <w:pStyle w:val="Heading5"/>
        <w:adjustRightInd w:val="0"/>
        <w:spacing w:before="1"/>
        <w:ind w:left="851" w:rightChars="794" w:right="1906"/>
        <w:jc w:val="both"/>
        <w:rPr>
          <w:rFonts w:ascii="Arial" w:hAnsi="Arial" w:cs="Arial"/>
        </w:rPr>
      </w:pPr>
      <w:r w:rsidRPr="00CA366F">
        <w:rPr>
          <w:rFonts w:ascii="Arial" w:hAnsi="Arial" w:cs="Arial"/>
        </w:rPr>
        <w:t>Segment reporting</w:t>
      </w:r>
    </w:p>
    <w:p w14:paraId="5C67EA8D" w14:textId="77777777" w:rsidR="005130BF" w:rsidRPr="006A7B76" w:rsidRDefault="005130BF" w:rsidP="001E0283">
      <w:pPr>
        <w:pStyle w:val="BodyText"/>
        <w:adjustRightInd w:val="0"/>
        <w:ind w:left="851" w:rightChars="794" w:right="1906"/>
        <w:jc w:val="both"/>
        <w:rPr>
          <w:rFonts w:ascii="Arial" w:hAnsi="Arial" w:cs="Arial"/>
        </w:rPr>
      </w:pPr>
    </w:p>
    <w:p w14:paraId="37AF5848" w14:textId="1B715DD2" w:rsidR="005130BF" w:rsidRDefault="005130BF" w:rsidP="001E0283">
      <w:pPr>
        <w:pStyle w:val="BodyText"/>
        <w:adjustRightInd w:val="0"/>
        <w:ind w:leftChars="354" w:left="850" w:rightChars="794" w:right="1906"/>
        <w:jc w:val="both"/>
        <w:rPr>
          <w:rFonts w:ascii="Arial" w:hAnsi="Arial" w:cs="Arial"/>
        </w:rPr>
      </w:pPr>
      <w:r w:rsidRPr="006A7B76">
        <w:rPr>
          <w:rFonts w:ascii="Arial" w:hAnsi="Arial" w:cs="Arial"/>
        </w:rPr>
        <w:t>An operating segment is a component of an entity (</w:t>
      </w:r>
      <w:proofErr w:type="spellStart"/>
      <w:r w:rsidRPr="006A7B76">
        <w:rPr>
          <w:rFonts w:ascii="Arial" w:hAnsi="Arial" w:cs="Arial"/>
        </w:rPr>
        <w:t>i</w:t>
      </w:r>
      <w:proofErr w:type="spellEnd"/>
      <w:r w:rsidRPr="006A7B76">
        <w:rPr>
          <w:rFonts w:ascii="Arial" w:hAnsi="Arial" w:cs="Arial"/>
        </w:rPr>
        <w:t>) that engages in business activities from which it may earn</w:t>
      </w:r>
      <w:r w:rsidR="006A7B76">
        <w:rPr>
          <w:rFonts w:ascii="Arial" w:hAnsi="Arial" w:cs="Arial"/>
        </w:rPr>
        <w:t xml:space="preserve"> </w:t>
      </w:r>
      <w:r w:rsidRPr="006A7B76">
        <w:rPr>
          <w:rFonts w:ascii="Arial" w:hAnsi="Arial" w:cs="Arial"/>
        </w:rPr>
        <w:t>revenues and incur expenses (including revenues and expenses relating to transactions with other components</w:t>
      </w:r>
      <w:r w:rsidR="006A7B76">
        <w:rPr>
          <w:rFonts w:ascii="Arial" w:hAnsi="Arial" w:cs="Arial"/>
        </w:rPr>
        <w:t xml:space="preserve"> </w:t>
      </w:r>
      <w:r w:rsidRPr="006A7B76">
        <w:rPr>
          <w:rFonts w:ascii="Arial" w:hAnsi="Arial" w:cs="Arial"/>
        </w:rPr>
        <w:t>of the same entity), (ii) whose operating results are regularly reviewed by the entity's management, and (iii) for</w:t>
      </w:r>
      <w:r w:rsidR="006A7B76">
        <w:rPr>
          <w:rFonts w:ascii="Arial" w:hAnsi="Arial" w:cs="Arial"/>
        </w:rPr>
        <w:t xml:space="preserve"> </w:t>
      </w:r>
      <w:r w:rsidRPr="006A7B76">
        <w:rPr>
          <w:rFonts w:ascii="Arial" w:hAnsi="Arial" w:cs="Arial"/>
        </w:rPr>
        <w:t>which discrete financial information is available. The Corporation's operating segments are its separately</w:t>
      </w:r>
      <w:r w:rsidR="006A7B76">
        <w:rPr>
          <w:rFonts w:ascii="Arial" w:hAnsi="Arial" w:cs="Arial"/>
        </w:rPr>
        <w:t xml:space="preserve"> </w:t>
      </w:r>
      <w:r w:rsidRPr="006A7B76">
        <w:rPr>
          <w:rFonts w:ascii="Arial" w:hAnsi="Arial" w:cs="Arial"/>
        </w:rPr>
        <w:t>identifiable exploration and evaluation properties.</w:t>
      </w:r>
    </w:p>
    <w:p w14:paraId="45AA7493" w14:textId="77777777" w:rsidR="00A153FB" w:rsidRDefault="00A153FB" w:rsidP="001E0283">
      <w:pPr>
        <w:pStyle w:val="BodyText"/>
        <w:adjustRightInd w:val="0"/>
        <w:ind w:leftChars="354" w:left="850" w:rightChars="794" w:right="1906"/>
        <w:jc w:val="both"/>
        <w:rPr>
          <w:rFonts w:ascii="Arial" w:hAnsi="Arial" w:cs="Arial"/>
        </w:rPr>
      </w:pPr>
    </w:p>
    <w:p w14:paraId="294384F8" w14:textId="77777777" w:rsidR="00DB4509" w:rsidRPr="00F56223" w:rsidRDefault="00DB4509" w:rsidP="001E0283">
      <w:pPr>
        <w:pStyle w:val="Heading5"/>
        <w:adjustRightInd w:val="0"/>
        <w:spacing w:before="1"/>
        <w:ind w:leftChars="354" w:left="850" w:rightChars="794" w:right="1906"/>
        <w:jc w:val="both"/>
        <w:rPr>
          <w:rFonts w:ascii="Arial" w:hAnsi="Arial" w:cs="Arial"/>
        </w:rPr>
      </w:pPr>
      <w:r w:rsidRPr="00F56223">
        <w:rPr>
          <w:rFonts w:ascii="Arial" w:hAnsi="Arial" w:cs="Arial"/>
        </w:rPr>
        <w:t>Significant accounting judgements and estimates</w:t>
      </w:r>
    </w:p>
    <w:p w14:paraId="0F5F3000" w14:textId="77777777" w:rsidR="00A7016F" w:rsidRPr="00A153FB" w:rsidRDefault="00A7016F" w:rsidP="001E0283">
      <w:pPr>
        <w:autoSpaceDE w:val="0"/>
        <w:autoSpaceDN w:val="0"/>
        <w:adjustRightInd w:val="0"/>
        <w:ind w:leftChars="354" w:left="850" w:rightChars="794" w:right="1906"/>
        <w:jc w:val="both"/>
        <w:rPr>
          <w:rFonts w:ascii="Arial" w:hAnsi="Arial" w:cs="Arial"/>
          <w:sz w:val="16"/>
          <w:szCs w:val="16"/>
        </w:rPr>
      </w:pPr>
    </w:p>
    <w:p w14:paraId="20B4FAFC" w14:textId="2350FCBA" w:rsidR="00DB4509" w:rsidRPr="00F56223" w:rsidRDefault="00DB4509" w:rsidP="001E0283">
      <w:pPr>
        <w:pStyle w:val="BodyText"/>
        <w:adjustRightInd w:val="0"/>
        <w:ind w:leftChars="354" w:left="850" w:rightChars="794" w:right="1906"/>
        <w:jc w:val="both"/>
        <w:rPr>
          <w:rFonts w:ascii="Arial" w:hAnsi="Arial" w:cs="Arial"/>
        </w:rPr>
      </w:pPr>
      <w:r w:rsidRPr="00F56223">
        <w:rPr>
          <w:rFonts w:ascii="Arial" w:hAnsi="Arial" w:cs="Arial"/>
        </w:rPr>
        <w:t xml:space="preserve">In the application of the Corporation’s accounting policies, which are described in Note 2 of the audited consolidated financial statements for the year </w:t>
      </w:r>
      <w:r w:rsidRPr="008A4780">
        <w:rPr>
          <w:rFonts w:ascii="Arial" w:hAnsi="Arial" w:cs="Arial"/>
        </w:rPr>
        <w:t>ending December 31, 20</w:t>
      </w:r>
      <w:r w:rsidR="00A718DC" w:rsidRPr="008A4780">
        <w:rPr>
          <w:rFonts w:ascii="Arial" w:hAnsi="Arial" w:cs="Arial"/>
        </w:rPr>
        <w:t>2</w:t>
      </w:r>
      <w:r w:rsidR="00981286">
        <w:rPr>
          <w:rFonts w:ascii="Arial" w:hAnsi="Arial" w:cs="Arial"/>
        </w:rPr>
        <w:t>3</w:t>
      </w:r>
      <w:r w:rsidRPr="008A4780">
        <w:rPr>
          <w:rFonts w:ascii="Arial" w:hAnsi="Arial" w:cs="Arial"/>
        </w:rPr>
        <w:t>,</w:t>
      </w:r>
      <w:r w:rsidRPr="00F56223">
        <w:rPr>
          <w:rFonts w:ascii="Arial" w:hAnsi="Arial" w:cs="Arial"/>
        </w:rPr>
        <w:t xml:space="preserve"> management is required to make judgements, estimates and assumptions about the carrying amounts of assets and liabilities that are not readily apparent from other sources. The estimates and associated assumptions are based on historical experience and other factors that are considered to be relevant. Actual results may differ from these estimates.</w:t>
      </w:r>
    </w:p>
    <w:p w14:paraId="5A0D5B74" w14:textId="77777777" w:rsidR="00DB4509" w:rsidRPr="00F56223" w:rsidRDefault="00DB4509" w:rsidP="001E0283">
      <w:pPr>
        <w:pStyle w:val="BodyText"/>
        <w:adjustRightInd w:val="0"/>
        <w:spacing w:before="124"/>
        <w:ind w:leftChars="354" w:left="850" w:rightChars="794" w:right="1906"/>
        <w:jc w:val="both"/>
        <w:rPr>
          <w:rFonts w:ascii="Arial" w:hAnsi="Arial" w:cs="Arial"/>
          <w:u w:val="single"/>
        </w:rPr>
      </w:pPr>
      <w:r w:rsidRPr="00F56223">
        <w:rPr>
          <w:rFonts w:ascii="Arial" w:hAnsi="Arial" w:cs="Arial"/>
          <w:u w:val="single"/>
        </w:rPr>
        <w:t>Significant estimates</w:t>
      </w:r>
    </w:p>
    <w:p w14:paraId="7C20BF7E" w14:textId="77777777" w:rsidR="00A7016F" w:rsidRPr="00A153FB" w:rsidRDefault="00A7016F" w:rsidP="001E0283">
      <w:pPr>
        <w:autoSpaceDE w:val="0"/>
        <w:autoSpaceDN w:val="0"/>
        <w:adjustRightInd w:val="0"/>
        <w:ind w:leftChars="354" w:left="850" w:rightChars="794" w:right="1906"/>
        <w:jc w:val="both"/>
        <w:rPr>
          <w:rFonts w:ascii="Arial" w:hAnsi="Arial" w:cs="Arial"/>
          <w:sz w:val="16"/>
          <w:szCs w:val="16"/>
        </w:rPr>
      </w:pPr>
    </w:p>
    <w:p w14:paraId="6A5011B0" w14:textId="5488D7A4" w:rsidR="00DB4509" w:rsidRDefault="00DB4509" w:rsidP="001E0283">
      <w:pPr>
        <w:pStyle w:val="BodyText"/>
        <w:adjustRightInd w:val="0"/>
        <w:ind w:leftChars="354" w:left="850" w:rightChars="794" w:right="1906"/>
        <w:jc w:val="both"/>
        <w:rPr>
          <w:rFonts w:ascii="Arial" w:hAnsi="Arial" w:cs="Arial"/>
        </w:rPr>
      </w:pPr>
      <w:r w:rsidRPr="00F56223">
        <w:rPr>
          <w:rFonts w:ascii="Arial" w:hAnsi="Arial" w:cs="Arial"/>
        </w:rPr>
        <w:t xml:space="preserve">The preparation of these </w:t>
      </w:r>
      <w:r w:rsidR="00431097">
        <w:rPr>
          <w:rFonts w:ascii="Arial" w:hAnsi="Arial" w:cs="Arial"/>
        </w:rPr>
        <w:t xml:space="preserve">consolidated </w:t>
      </w:r>
      <w:r w:rsidRPr="00F56223">
        <w:rPr>
          <w:rFonts w:ascii="Arial" w:hAnsi="Arial" w:cs="Arial"/>
        </w:rPr>
        <w:t xml:space="preserve">financial statements requires management to make estimates and assumptions that affect the reported amounts of assets and liabilities at the date of the financial statements and reported amounts of expenses during </w:t>
      </w:r>
      <w:r w:rsidRPr="008A4780">
        <w:rPr>
          <w:rFonts w:ascii="Arial" w:hAnsi="Arial" w:cs="Arial"/>
        </w:rPr>
        <w:t>the reporting period. Actual outcomes could differ from these estimates. The</w:t>
      </w:r>
      <w:r w:rsidR="00431097">
        <w:rPr>
          <w:rFonts w:ascii="Arial" w:hAnsi="Arial" w:cs="Arial"/>
        </w:rPr>
        <w:t>se</w:t>
      </w:r>
      <w:r w:rsidRPr="008A4780">
        <w:rPr>
          <w:rFonts w:ascii="Arial" w:hAnsi="Arial" w:cs="Arial"/>
        </w:rPr>
        <w:t xml:space="preserve"> </w:t>
      </w:r>
      <w:r w:rsidR="00E527B5">
        <w:rPr>
          <w:rFonts w:ascii="Arial" w:hAnsi="Arial" w:cs="Arial"/>
        </w:rPr>
        <w:t>consoli</w:t>
      </w:r>
      <w:r w:rsidR="00710600">
        <w:rPr>
          <w:rFonts w:ascii="Arial" w:hAnsi="Arial" w:cs="Arial"/>
        </w:rPr>
        <w:t>d</w:t>
      </w:r>
      <w:r w:rsidR="00E527B5">
        <w:rPr>
          <w:rFonts w:ascii="Arial" w:hAnsi="Arial" w:cs="Arial"/>
        </w:rPr>
        <w:t xml:space="preserve">ated </w:t>
      </w:r>
      <w:r w:rsidRPr="008A4780">
        <w:rPr>
          <w:rFonts w:ascii="Arial" w:hAnsi="Arial" w:cs="Arial"/>
        </w:rPr>
        <w:t>financial statements include estimates, which by their nature are uncertain. The impacts of such estimates are pervasive throughout the consolidated financial statements and may require accounting adjustments based on future</w:t>
      </w:r>
      <w:r w:rsidRPr="008A4780">
        <w:rPr>
          <w:rFonts w:ascii="Arial" w:hAnsi="Arial" w:cs="Arial"/>
          <w:spacing w:val="20"/>
        </w:rPr>
        <w:t xml:space="preserve"> </w:t>
      </w:r>
      <w:r w:rsidRPr="008A4780">
        <w:rPr>
          <w:rFonts w:ascii="Arial" w:hAnsi="Arial" w:cs="Arial"/>
        </w:rPr>
        <w:t>occurrences.</w:t>
      </w:r>
      <w:r w:rsidRPr="008A4780">
        <w:rPr>
          <w:rFonts w:ascii="Arial" w:hAnsi="Arial" w:cs="Arial"/>
          <w:spacing w:val="23"/>
        </w:rPr>
        <w:t xml:space="preserve"> </w:t>
      </w:r>
      <w:r w:rsidRPr="008A4780">
        <w:rPr>
          <w:rFonts w:ascii="Arial" w:hAnsi="Arial" w:cs="Arial"/>
        </w:rPr>
        <w:t>Revisions</w:t>
      </w:r>
      <w:r w:rsidRPr="008A4780">
        <w:rPr>
          <w:rFonts w:ascii="Arial" w:hAnsi="Arial" w:cs="Arial"/>
          <w:spacing w:val="21"/>
        </w:rPr>
        <w:t xml:space="preserve"> </w:t>
      </w:r>
      <w:r w:rsidRPr="008A4780">
        <w:rPr>
          <w:rFonts w:ascii="Arial" w:hAnsi="Arial" w:cs="Arial"/>
        </w:rPr>
        <w:t>to</w:t>
      </w:r>
      <w:r w:rsidRPr="008A4780">
        <w:rPr>
          <w:rFonts w:ascii="Arial" w:hAnsi="Arial" w:cs="Arial"/>
          <w:spacing w:val="22"/>
        </w:rPr>
        <w:t xml:space="preserve"> </w:t>
      </w:r>
      <w:r w:rsidRPr="008A4780">
        <w:rPr>
          <w:rFonts w:ascii="Arial" w:hAnsi="Arial" w:cs="Arial"/>
        </w:rPr>
        <w:t>accounting</w:t>
      </w:r>
      <w:r w:rsidRPr="008A4780">
        <w:rPr>
          <w:rFonts w:ascii="Arial" w:hAnsi="Arial" w:cs="Arial"/>
          <w:spacing w:val="21"/>
        </w:rPr>
        <w:t xml:space="preserve"> </w:t>
      </w:r>
      <w:r w:rsidRPr="008A4780">
        <w:rPr>
          <w:rFonts w:ascii="Arial" w:hAnsi="Arial" w:cs="Arial"/>
        </w:rPr>
        <w:t>estimates</w:t>
      </w:r>
      <w:r w:rsidRPr="008A4780">
        <w:rPr>
          <w:rFonts w:ascii="Arial" w:hAnsi="Arial" w:cs="Arial"/>
          <w:spacing w:val="23"/>
        </w:rPr>
        <w:t xml:space="preserve"> </w:t>
      </w:r>
      <w:r w:rsidRPr="008A4780">
        <w:rPr>
          <w:rFonts w:ascii="Arial" w:hAnsi="Arial" w:cs="Arial"/>
        </w:rPr>
        <w:t>are</w:t>
      </w:r>
      <w:r w:rsidRPr="008A4780">
        <w:rPr>
          <w:rFonts w:ascii="Arial" w:hAnsi="Arial" w:cs="Arial"/>
          <w:spacing w:val="21"/>
        </w:rPr>
        <w:t xml:space="preserve"> </w:t>
      </w:r>
      <w:r w:rsidRPr="008A4780">
        <w:rPr>
          <w:rFonts w:ascii="Arial" w:hAnsi="Arial" w:cs="Arial"/>
        </w:rPr>
        <w:t>recognized</w:t>
      </w:r>
      <w:r w:rsidRPr="008A4780">
        <w:rPr>
          <w:rFonts w:ascii="Arial" w:hAnsi="Arial" w:cs="Arial"/>
          <w:spacing w:val="21"/>
        </w:rPr>
        <w:t xml:space="preserve"> </w:t>
      </w:r>
      <w:r w:rsidRPr="008A4780">
        <w:rPr>
          <w:rFonts w:ascii="Arial" w:hAnsi="Arial" w:cs="Arial"/>
        </w:rPr>
        <w:t>in</w:t>
      </w:r>
      <w:r w:rsidRPr="008A4780">
        <w:rPr>
          <w:rFonts w:ascii="Arial" w:hAnsi="Arial" w:cs="Arial"/>
          <w:spacing w:val="21"/>
        </w:rPr>
        <w:t xml:space="preserve"> </w:t>
      </w:r>
      <w:r w:rsidRPr="008A4780">
        <w:rPr>
          <w:rFonts w:ascii="Arial" w:hAnsi="Arial" w:cs="Arial"/>
        </w:rPr>
        <w:t>the</w:t>
      </w:r>
      <w:r w:rsidRPr="008A4780">
        <w:rPr>
          <w:rFonts w:ascii="Arial" w:hAnsi="Arial" w:cs="Arial"/>
          <w:spacing w:val="22"/>
        </w:rPr>
        <w:t xml:space="preserve"> </w:t>
      </w:r>
      <w:r w:rsidRPr="008A4780">
        <w:rPr>
          <w:rFonts w:ascii="Arial" w:hAnsi="Arial" w:cs="Arial"/>
        </w:rPr>
        <w:t>period</w:t>
      </w:r>
      <w:r w:rsidRPr="008A4780">
        <w:rPr>
          <w:rFonts w:ascii="Arial" w:hAnsi="Arial" w:cs="Arial"/>
          <w:spacing w:val="19"/>
        </w:rPr>
        <w:t xml:space="preserve"> </w:t>
      </w:r>
      <w:r w:rsidRPr="008A4780">
        <w:rPr>
          <w:rFonts w:ascii="Arial" w:hAnsi="Arial" w:cs="Arial"/>
        </w:rPr>
        <w:t>in</w:t>
      </w:r>
      <w:r w:rsidRPr="008A4780">
        <w:rPr>
          <w:rFonts w:ascii="Arial" w:hAnsi="Arial" w:cs="Arial"/>
          <w:spacing w:val="19"/>
        </w:rPr>
        <w:t xml:space="preserve"> </w:t>
      </w:r>
      <w:r w:rsidRPr="008A4780">
        <w:rPr>
          <w:rFonts w:ascii="Arial" w:hAnsi="Arial" w:cs="Arial"/>
        </w:rPr>
        <w:t>which</w:t>
      </w:r>
      <w:r w:rsidRPr="008A4780">
        <w:rPr>
          <w:rFonts w:ascii="Arial" w:hAnsi="Arial" w:cs="Arial"/>
          <w:spacing w:val="18"/>
        </w:rPr>
        <w:t xml:space="preserve"> </w:t>
      </w:r>
      <w:r w:rsidRPr="008A4780">
        <w:rPr>
          <w:rFonts w:ascii="Arial" w:hAnsi="Arial" w:cs="Arial"/>
        </w:rPr>
        <w:t>the</w:t>
      </w:r>
      <w:r w:rsidRPr="008A4780">
        <w:rPr>
          <w:rFonts w:ascii="Arial" w:hAnsi="Arial" w:cs="Arial"/>
          <w:spacing w:val="20"/>
        </w:rPr>
        <w:t xml:space="preserve"> </w:t>
      </w:r>
      <w:r w:rsidRPr="008A4780">
        <w:rPr>
          <w:rFonts w:ascii="Arial" w:hAnsi="Arial" w:cs="Arial"/>
        </w:rPr>
        <w:t>estimate</w:t>
      </w:r>
      <w:r w:rsidRPr="008A4780">
        <w:rPr>
          <w:rFonts w:ascii="Arial" w:hAnsi="Arial" w:cs="Arial"/>
          <w:spacing w:val="20"/>
        </w:rPr>
        <w:t xml:space="preserve"> </w:t>
      </w:r>
      <w:r w:rsidRPr="008A4780">
        <w:rPr>
          <w:rFonts w:ascii="Arial" w:hAnsi="Arial" w:cs="Arial"/>
        </w:rPr>
        <w:t>is revised, and the revision affects both current and future periods. Significant estimates include:</w:t>
      </w:r>
    </w:p>
    <w:p w14:paraId="34B1ECDF" w14:textId="77777777" w:rsidR="001D03BB" w:rsidRPr="008A4780" w:rsidRDefault="001D03BB" w:rsidP="001E0283">
      <w:pPr>
        <w:pStyle w:val="BodyText"/>
        <w:ind w:left="851" w:right="777"/>
        <w:jc w:val="both"/>
        <w:rPr>
          <w:rFonts w:ascii="Arial" w:hAnsi="Arial" w:cs="Arial"/>
        </w:rPr>
      </w:pPr>
    </w:p>
    <w:p w14:paraId="0FDD4B5F" w14:textId="759ACEAD" w:rsidR="00DB4509" w:rsidRPr="008A4780" w:rsidRDefault="00DB4509" w:rsidP="005A6147">
      <w:pPr>
        <w:pStyle w:val="ListParagraph"/>
        <w:numPr>
          <w:ilvl w:val="1"/>
          <w:numId w:val="6"/>
        </w:numPr>
        <w:tabs>
          <w:tab w:val="left" w:pos="2239"/>
          <w:tab w:val="left" w:pos="2240"/>
        </w:tabs>
        <w:ind w:left="1588" w:right="777" w:hanging="397"/>
        <w:jc w:val="both"/>
        <w:rPr>
          <w:rFonts w:ascii="Arial" w:hAnsi="Arial" w:cs="Arial"/>
          <w:sz w:val="16"/>
        </w:rPr>
      </w:pPr>
      <w:r w:rsidRPr="008A4780">
        <w:rPr>
          <w:rFonts w:ascii="Arial" w:hAnsi="Arial" w:cs="Arial"/>
          <w:sz w:val="16"/>
        </w:rPr>
        <w:t xml:space="preserve">the inputs used in accounting for share </w:t>
      </w:r>
      <w:r w:rsidR="003B2CC3">
        <w:rPr>
          <w:rFonts w:ascii="Arial" w:hAnsi="Arial" w:cs="Arial"/>
          <w:sz w:val="16"/>
        </w:rPr>
        <w:t>based payments</w:t>
      </w:r>
      <w:r w:rsidRPr="008A4780">
        <w:rPr>
          <w:rFonts w:ascii="Arial" w:hAnsi="Arial" w:cs="Arial"/>
          <w:sz w:val="16"/>
        </w:rPr>
        <w:t xml:space="preserve"> in the</w:t>
      </w:r>
      <w:r w:rsidR="009026FA">
        <w:rPr>
          <w:rFonts w:ascii="Arial" w:hAnsi="Arial" w:cs="Arial"/>
          <w:sz w:val="16"/>
        </w:rPr>
        <w:t>se</w:t>
      </w:r>
      <w:r w:rsidRPr="008A4780">
        <w:rPr>
          <w:rFonts w:ascii="Arial" w:hAnsi="Arial" w:cs="Arial"/>
          <w:sz w:val="16"/>
        </w:rPr>
        <w:t xml:space="preserve"> </w:t>
      </w:r>
      <w:r w:rsidR="00431097">
        <w:rPr>
          <w:rFonts w:ascii="Arial" w:hAnsi="Arial" w:cs="Arial"/>
          <w:sz w:val="16"/>
        </w:rPr>
        <w:t xml:space="preserve">consolidated </w:t>
      </w:r>
      <w:r w:rsidRPr="008A4780">
        <w:rPr>
          <w:rFonts w:ascii="Arial" w:hAnsi="Arial" w:cs="Arial"/>
          <w:sz w:val="16"/>
        </w:rPr>
        <w:t>statement</w:t>
      </w:r>
      <w:r w:rsidR="00382BF1">
        <w:rPr>
          <w:rFonts w:ascii="Arial" w:hAnsi="Arial" w:cs="Arial"/>
          <w:sz w:val="16"/>
        </w:rPr>
        <w:t>s</w:t>
      </w:r>
      <w:r w:rsidRPr="008A4780">
        <w:rPr>
          <w:rFonts w:ascii="Arial" w:hAnsi="Arial" w:cs="Arial"/>
          <w:sz w:val="16"/>
        </w:rPr>
        <w:t xml:space="preserve"> of </w:t>
      </w:r>
      <w:r w:rsidR="00AB32C7" w:rsidRPr="008A4780">
        <w:rPr>
          <w:rFonts w:ascii="Arial" w:hAnsi="Arial" w:cs="Arial"/>
          <w:sz w:val="16"/>
        </w:rPr>
        <w:t>loss</w:t>
      </w:r>
      <w:r w:rsidRPr="008A4780">
        <w:rPr>
          <w:rFonts w:ascii="Arial" w:hAnsi="Arial" w:cs="Arial"/>
          <w:sz w:val="16"/>
        </w:rPr>
        <w:t xml:space="preserve"> and comprehensive </w:t>
      </w:r>
      <w:proofErr w:type="gramStart"/>
      <w:r w:rsidR="00AB32C7" w:rsidRPr="008A4780">
        <w:rPr>
          <w:rFonts w:ascii="Arial" w:hAnsi="Arial" w:cs="Arial"/>
          <w:sz w:val="16"/>
        </w:rPr>
        <w:t>loss</w:t>
      </w:r>
      <w:r w:rsidRPr="008A4780">
        <w:rPr>
          <w:rFonts w:ascii="Arial" w:hAnsi="Arial" w:cs="Arial"/>
          <w:sz w:val="16"/>
        </w:rPr>
        <w:t>;</w:t>
      </w:r>
      <w:proofErr w:type="gramEnd"/>
    </w:p>
    <w:p w14:paraId="68F0E226" w14:textId="77777777" w:rsidR="00A7016F" w:rsidRPr="00A153FB" w:rsidRDefault="00A7016F" w:rsidP="00A7016F">
      <w:pPr>
        <w:autoSpaceDE w:val="0"/>
        <w:autoSpaceDN w:val="0"/>
        <w:adjustRightInd w:val="0"/>
        <w:ind w:left="851"/>
        <w:jc w:val="both"/>
        <w:rPr>
          <w:rFonts w:ascii="Arial" w:hAnsi="Arial" w:cs="Arial"/>
          <w:sz w:val="16"/>
          <w:szCs w:val="16"/>
        </w:rPr>
      </w:pPr>
    </w:p>
    <w:p w14:paraId="4082AFD4" w14:textId="0841259C" w:rsidR="00DB4509" w:rsidRPr="008A4780" w:rsidRDefault="00DB4509" w:rsidP="00A7016F">
      <w:pPr>
        <w:pStyle w:val="ListParagraph"/>
        <w:numPr>
          <w:ilvl w:val="1"/>
          <w:numId w:val="6"/>
        </w:numPr>
        <w:tabs>
          <w:tab w:val="left" w:pos="2239"/>
          <w:tab w:val="left" w:pos="2240"/>
        </w:tabs>
        <w:ind w:left="1588" w:right="777" w:hanging="397"/>
        <w:jc w:val="both"/>
        <w:rPr>
          <w:rFonts w:ascii="Arial" w:hAnsi="Arial" w:cs="Arial"/>
          <w:sz w:val="16"/>
        </w:rPr>
      </w:pPr>
      <w:r w:rsidRPr="008A4780">
        <w:rPr>
          <w:rFonts w:ascii="Arial" w:hAnsi="Arial" w:cs="Arial"/>
          <w:sz w:val="16"/>
        </w:rPr>
        <w:t>the provision for income taxes which is included in the</w:t>
      </w:r>
      <w:r w:rsidR="009026FA">
        <w:rPr>
          <w:rFonts w:ascii="Arial" w:hAnsi="Arial" w:cs="Arial"/>
          <w:sz w:val="16"/>
        </w:rPr>
        <w:t>se</w:t>
      </w:r>
      <w:r w:rsidRPr="008A4780">
        <w:rPr>
          <w:rFonts w:ascii="Arial" w:hAnsi="Arial" w:cs="Arial"/>
          <w:sz w:val="16"/>
        </w:rPr>
        <w:t xml:space="preserve"> </w:t>
      </w:r>
      <w:r w:rsidR="00431097">
        <w:rPr>
          <w:rFonts w:ascii="Arial" w:hAnsi="Arial" w:cs="Arial"/>
          <w:sz w:val="16"/>
        </w:rPr>
        <w:t xml:space="preserve">consolidated </w:t>
      </w:r>
      <w:r w:rsidRPr="008A4780">
        <w:rPr>
          <w:rFonts w:ascii="Arial" w:hAnsi="Arial" w:cs="Arial"/>
          <w:sz w:val="16"/>
        </w:rPr>
        <w:t xml:space="preserve">statements of </w:t>
      </w:r>
      <w:r w:rsidR="003B2CC3">
        <w:rPr>
          <w:rFonts w:ascii="Arial" w:hAnsi="Arial" w:cs="Arial"/>
          <w:sz w:val="16"/>
        </w:rPr>
        <w:t>loss</w:t>
      </w:r>
      <w:r w:rsidR="003B2CC3" w:rsidRPr="008A4780">
        <w:rPr>
          <w:rFonts w:ascii="Arial" w:hAnsi="Arial" w:cs="Arial"/>
          <w:sz w:val="16"/>
        </w:rPr>
        <w:t xml:space="preserve"> and</w:t>
      </w:r>
      <w:r w:rsidRPr="008A4780">
        <w:rPr>
          <w:rFonts w:ascii="Arial" w:hAnsi="Arial" w:cs="Arial"/>
          <w:sz w:val="16"/>
        </w:rPr>
        <w:t xml:space="preserve"> comprehensive </w:t>
      </w:r>
      <w:r w:rsidR="003B2CC3">
        <w:rPr>
          <w:rFonts w:ascii="Arial" w:hAnsi="Arial" w:cs="Arial"/>
          <w:sz w:val="16"/>
        </w:rPr>
        <w:t>loss</w:t>
      </w:r>
      <w:r w:rsidR="003B2CC3" w:rsidRPr="008A4780">
        <w:rPr>
          <w:rFonts w:ascii="Arial" w:hAnsi="Arial" w:cs="Arial"/>
          <w:sz w:val="16"/>
        </w:rPr>
        <w:t xml:space="preserve"> and</w:t>
      </w:r>
      <w:r w:rsidRPr="008A4780">
        <w:rPr>
          <w:rFonts w:ascii="Arial" w:hAnsi="Arial" w:cs="Arial"/>
          <w:sz w:val="16"/>
        </w:rPr>
        <w:t xml:space="preserve"> composition of deferred income tax assets and liabilities included in the </w:t>
      </w:r>
      <w:r w:rsidR="00382BF1">
        <w:rPr>
          <w:rFonts w:ascii="Arial" w:hAnsi="Arial" w:cs="Arial"/>
          <w:sz w:val="16"/>
        </w:rPr>
        <w:t xml:space="preserve">consolidated </w:t>
      </w:r>
      <w:r w:rsidRPr="008A4780">
        <w:rPr>
          <w:rFonts w:ascii="Arial" w:hAnsi="Arial" w:cs="Arial"/>
          <w:sz w:val="16"/>
        </w:rPr>
        <w:t>statement of financial position which have not yet been confirmed by the taxation authorities,</w:t>
      </w:r>
      <w:r w:rsidRPr="008A4780">
        <w:rPr>
          <w:rFonts w:ascii="Arial" w:hAnsi="Arial" w:cs="Arial"/>
          <w:spacing w:val="-1"/>
          <w:sz w:val="16"/>
        </w:rPr>
        <w:t xml:space="preserve"> </w:t>
      </w:r>
      <w:r w:rsidRPr="008A4780">
        <w:rPr>
          <w:rFonts w:ascii="Arial" w:hAnsi="Arial" w:cs="Arial"/>
          <w:sz w:val="16"/>
        </w:rPr>
        <w:t>and</w:t>
      </w:r>
    </w:p>
    <w:p w14:paraId="48655455" w14:textId="77777777" w:rsidR="008057CB" w:rsidRPr="008A4780" w:rsidRDefault="008057CB" w:rsidP="008057CB">
      <w:pPr>
        <w:pStyle w:val="ListParagraph"/>
        <w:rPr>
          <w:rFonts w:ascii="Arial" w:hAnsi="Arial" w:cs="Arial"/>
          <w:sz w:val="16"/>
        </w:rPr>
      </w:pPr>
    </w:p>
    <w:p w14:paraId="7DB83811" w14:textId="133F4582" w:rsidR="00473653" w:rsidRDefault="008057CB" w:rsidP="007B2708">
      <w:pPr>
        <w:pStyle w:val="ListParagraph"/>
        <w:numPr>
          <w:ilvl w:val="1"/>
          <w:numId w:val="6"/>
        </w:numPr>
        <w:tabs>
          <w:tab w:val="left" w:pos="2239"/>
          <w:tab w:val="left" w:pos="2240"/>
        </w:tabs>
        <w:ind w:left="1588" w:right="777" w:hanging="397"/>
        <w:jc w:val="both"/>
      </w:pPr>
      <w:r w:rsidRPr="008A4780">
        <w:rPr>
          <w:rFonts w:ascii="Arial" w:hAnsi="Arial" w:cs="Arial"/>
          <w:sz w:val="16"/>
        </w:rPr>
        <w:t xml:space="preserve">the estimated useful lives of equipment and leaseholds which are included in the </w:t>
      </w:r>
      <w:r w:rsidR="00431097">
        <w:rPr>
          <w:rFonts w:ascii="Arial" w:hAnsi="Arial" w:cs="Arial"/>
          <w:sz w:val="16"/>
        </w:rPr>
        <w:t xml:space="preserve">consolidated </w:t>
      </w:r>
      <w:r w:rsidRPr="008A4780">
        <w:rPr>
          <w:rFonts w:ascii="Arial" w:hAnsi="Arial" w:cs="Arial"/>
          <w:sz w:val="16"/>
        </w:rPr>
        <w:t>statement of financial position and the related depreciation included in the</w:t>
      </w:r>
      <w:r w:rsidR="009026FA">
        <w:rPr>
          <w:rFonts w:ascii="Arial" w:hAnsi="Arial" w:cs="Arial"/>
          <w:sz w:val="16"/>
        </w:rPr>
        <w:t>se</w:t>
      </w:r>
      <w:r w:rsidRPr="008A4780">
        <w:rPr>
          <w:rFonts w:ascii="Arial" w:hAnsi="Arial" w:cs="Arial"/>
          <w:sz w:val="16"/>
        </w:rPr>
        <w:t xml:space="preserve"> </w:t>
      </w:r>
      <w:r w:rsidR="00431097">
        <w:rPr>
          <w:rFonts w:ascii="Arial" w:hAnsi="Arial" w:cs="Arial"/>
          <w:sz w:val="16"/>
        </w:rPr>
        <w:t xml:space="preserve">consolidated </w:t>
      </w:r>
      <w:r w:rsidRPr="008A4780">
        <w:rPr>
          <w:rFonts w:ascii="Arial" w:hAnsi="Arial" w:cs="Arial"/>
          <w:sz w:val="16"/>
        </w:rPr>
        <w:t>statement</w:t>
      </w:r>
      <w:r w:rsidR="00382BF1">
        <w:rPr>
          <w:rFonts w:ascii="Arial" w:hAnsi="Arial" w:cs="Arial"/>
          <w:sz w:val="16"/>
        </w:rPr>
        <w:t>s</w:t>
      </w:r>
      <w:r w:rsidRPr="008A4780">
        <w:rPr>
          <w:rFonts w:ascii="Arial" w:hAnsi="Arial" w:cs="Arial"/>
          <w:sz w:val="16"/>
        </w:rPr>
        <w:t xml:space="preserve"> of </w:t>
      </w:r>
      <w:r w:rsidR="00AB32C7" w:rsidRPr="008A4780">
        <w:rPr>
          <w:rFonts w:ascii="Arial" w:hAnsi="Arial" w:cs="Arial"/>
          <w:sz w:val="16"/>
        </w:rPr>
        <w:t>loss</w:t>
      </w:r>
      <w:r w:rsidRPr="008A4780">
        <w:rPr>
          <w:rFonts w:ascii="Arial" w:hAnsi="Arial" w:cs="Arial"/>
          <w:sz w:val="16"/>
        </w:rPr>
        <w:t xml:space="preserve"> and comprehensive </w:t>
      </w:r>
      <w:r w:rsidR="00AB32C7" w:rsidRPr="008A4780">
        <w:rPr>
          <w:rFonts w:ascii="Arial" w:hAnsi="Arial" w:cs="Arial"/>
          <w:sz w:val="16"/>
        </w:rPr>
        <w:t>loss</w:t>
      </w:r>
      <w:r w:rsidRPr="008A4780">
        <w:rPr>
          <w:rFonts w:ascii="Arial" w:hAnsi="Arial" w:cs="Arial"/>
          <w:sz w:val="16"/>
        </w:rPr>
        <w:t>.</w:t>
      </w:r>
    </w:p>
    <w:p w14:paraId="5C8D2104" w14:textId="77777777" w:rsidR="00A7016F" w:rsidRPr="00A153FB" w:rsidRDefault="00A7016F" w:rsidP="00A7016F">
      <w:pPr>
        <w:autoSpaceDE w:val="0"/>
        <w:autoSpaceDN w:val="0"/>
        <w:adjustRightInd w:val="0"/>
        <w:ind w:left="851"/>
        <w:jc w:val="both"/>
        <w:rPr>
          <w:rFonts w:ascii="Arial" w:hAnsi="Arial" w:cs="Arial"/>
          <w:sz w:val="16"/>
          <w:szCs w:val="16"/>
        </w:rPr>
      </w:pPr>
    </w:p>
    <w:p w14:paraId="7B2D54B9" w14:textId="79CEBCAF" w:rsidR="00AA20F7" w:rsidRPr="00C24B7A" w:rsidRDefault="00064129" w:rsidP="001E0283">
      <w:pPr>
        <w:pStyle w:val="BodyText"/>
        <w:spacing w:before="124"/>
        <w:ind w:left="851"/>
        <w:rPr>
          <w:rFonts w:ascii="Arial" w:hAnsi="Arial" w:cs="Arial"/>
          <w:u w:val="single"/>
        </w:rPr>
      </w:pPr>
      <w:r>
        <w:rPr>
          <w:rFonts w:ascii="Arial" w:hAnsi="Arial" w:cs="Arial"/>
          <w:u w:val="single"/>
        </w:rPr>
        <w:t>Si</w:t>
      </w:r>
      <w:r w:rsidR="00AA20F7" w:rsidRPr="00AA20F7">
        <w:rPr>
          <w:rFonts w:ascii="Arial" w:hAnsi="Arial" w:cs="Arial"/>
          <w:u w:val="single"/>
        </w:rPr>
        <w:t>gnificant judgement</w:t>
      </w:r>
    </w:p>
    <w:p w14:paraId="611A4838" w14:textId="77777777" w:rsidR="00064129" w:rsidRDefault="00064129" w:rsidP="001E0283">
      <w:pPr>
        <w:pStyle w:val="BodyText"/>
        <w:ind w:left="851" w:right="777"/>
        <w:jc w:val="both"/>
        <w:rPr>
          <w:rFonts w:ascii="Arial" w:eastAsiaTheme="minorHAnsi" w:hAnsi="Arial" w:cs="Arial"/>
        </w:rPr>
      </w:pPr>
    </w:p>
    <w:p w14:paraId="64178726" w14:textId="44B14E6B" w:rsidR="00064129" w:rsidRDefault="00AA20F7" w:rsidP="001E0283">
      <w:pPr>
        <w:pStyle w:val="BodyText"/>
        <w:ind w:left="851" w:right="777"/>
        <w:jc w:val="both"/>
        <w:rPr>
          <w:rFonts w:ascii="Arial" w:hAnsi="Arial" w:cs="Arial"/>
        </w:rPr>
      </w:pPr>
      <w:r w:rsidRPr="00AA20F7">
        <w:rPr>
          <w:rFonts w:ascii="Arial" w:eastAsiaTheme="minorHAnsi" w:hAnsi="Arial" w:cs="Arial"/>
        </w:rPr>
        <w:t>Functional currency</w:t>
      </w:r>
    </w:p>
    <w:p w14:paraId="278E687F" w14:textId="77777777" w:rsidR="00064129" w:rsidRDefault="00064129" w:rsidP="001E0283">
      <w:pPr>
        <w:pStyle w:val="BodyText"/>
        <w:ind w:left="851" w:right="777"/>
        <w:jc w:val="both"/>
        <w:rPr>
          <w:rFonts w:ascii="Arial" w:hAnsi="Arial" w:cs="Arial"/>
        </w:rPr>
      </w:pPr>
    </w:p>
    <w:p w14:paraId="4EFBB71E" w14:textId="77777777" w:rsidR="00064129" w:rsidRDefault="00AA20F7" w:rsidP="001E0283">
      <w:pPr>
        <w:pStyle w:val="BodyText"/>
        <w:ind w:left="851" w:right="777"/>
        <w:jc w:val="both"/>
        <w:rPr>
          <w:rFonts w:ascii="Arial" w:hAnsi="Arial" w:cs="Arial"/>
        </w:rPr>
      </w:pPr>
      <w:r w:rsidRPr="001D067F">
        <w:rPr>
          <w:rFonts w:ascii="Arial" w:eastAsiaTheme="minorHAnsi" w:hAnsi="Arial" w:cs="Arial"/>
          <w:bCs/>
        </w:rPr>
        <w:t xml:space="preserve">Management uses its judgement to determine the functional currency that most faithfully represents the economic effects of the underlying transactions, </w:t>
      </w:r>
      <w:proofErr w:type="gramStart"/>
      <w:r w:rsidRPr="001D067F">
        <w:rPr>
          <w:rFonts w:ascii="Arial" w:eastAsiaTheme="minorHAnsi" w:hAnsi="Arial" w:cs="Arial"/>
          <w:bCs/>
        </w:rPr>
        <w:t>events</w:t>
      </w:r>
      <w:proofErr w:type="gramEnd"/>
      <w:r w:rsidRPr="001D067F">
        <w:rPr>
          <w:rFonts w:ascii="Arial" w:eastAsiaTheme="minorHAnsi" w:hAnsi="Arial" w:cs="Arial"/>
          <w:bCs/>
        </w:rPr>
        <w:t xml:space="preserve"> and conditions. As part of this approach, management gives priority to indicators like the currency that mainly influences costs and the currency in which those costs will be settled and the currency in which funds from financing activities are generated. Management also assesses the degree of autonomy the foreign operation has with respect to operating activities.</w:t>
      </w:r>
    </w:p>
    <w:p w14:paraId="2D386E6C" w14:textId="77777777" w:rsidR="00A7016F" w:rsidRPr="00A153FB" w:rsidRDefault="00A7016F" w:rsidP="001E0283">
      <w:pPr>
        <w:autoSpaceDE w:val="0"/>
        <w:autoSpaceDN w:val="0"/>
        <w:adjustRightInd w:val="0"/>
        <w:ind w:left="851"/>
        <w:jc w:val="both"/>
        <w:rPr>
          <w:rFonts w:ascii="Arial" w:hAnsi="Arial" w:cs="Arial"/>
          <w:sz w:val="16"/>
          <w:szCs w:val="16"/>
        </w:rPr>
      </w:pPr>
    </w:p>
    <w:p w14:paraId="54227AF2" w14:textId="77777777" w:rsidR="00064129" w:rsidRDefault="005130BF" w:rsidP="001E0283">
      <w:pPr>
        <w:pStyle w:val="Heading5"/>
        <w:spacing w:before="1"/>
        <w:ind w:left="851"/>
        <w:rPr>
          <w:rFonts w:ascii="Arial" w:eastAsiaTheme="minorHAnsi" w:hAnsi="Arial" w:cs="Arial"/>
        </w:rPr>
      </w:pPr>
      <w:r w:rsidRPr="00CA366F">
        <w:rPr>
          <w:rFonts w:ascii="Arial" w:eastAsiaTheme="minorHAnsi" w:hAnsi="Arial" w:cs="Arial"/>
        </w:rPr>
        <w:t>Flow through shares</w:t>
      </w:r>
    </w:p>
    <w:p w14:paraId="1E0B61AA" w14:textId="77777777" w:rsidR="00064129" w:rsidRPr="00F56223" w:rsidRDefault="00064129" w:rsidP="001E0283">
      <w:pPr>
        <w:pStyle w:val="Heading5"/>
        <w:spacing w:before="1"/>
        <w:ind w:left="851"/>
        <w:rPr>
          <w:rFonts w:ascii="Arial" w:hAnsi="Arial" w:cs="Arial"/>
        </w:rPr>
      </w:pPr>
    </w:p>
    <w:p w14:paraId="291647F1" w14:textId="5F835DC0" w:rsidR="005130BF" w:rsidRPr="009516A2" w:rsidRDefault="005130BF" w:rsidP="001E0283">
      <w:pPr>
        <w:pStyle w:val="BodyText"/>
        <w:ind w:left="851" w:right="777"/>
        <w:jc w:val="both"/>
        <w:rPr>
          <w:rFonts w:ascii="Arial" w:hAnsi="Arial" w:cs="Arial"/>
        </w:rPr>
      </w:pPr>
      <w:r w:rsidRPr="009516A2">
        <w:rPr>
          <w:rFonts w:ascii="Arial" w:hAnsi="Arial" w:cs="Arial"/>
        </w:rPr>
        <w:t>Under Canadian income tax legislation, a company is permitted to issue flow through shares whereby the</w:t>
      </w:r>
      <w:r w:rsidR="009516A2">
        <w:rPr>
          <w:rFonts w:ascii="Arial" w:hAnsi="Arial" w:cs="Arial"/>
        </w:rPr>
        <w:t xml:space="preserve"> </w:t>
      </w:r>
      <w:r w:rsidRPr="009516A2">
        <w:rPr>
          <w:rFonts w:ascii="Arial" w:hAnsi="Arial" w:cs="Arial"/>
        </w:rPr>
        <w:t>company agrees to incur qualifying expenditures and renounce the related income tax deductions to the</w:t>
      </w:r>
      <w:r w:rsidR="009516A2">
        <w:rPr>
          <w:rFonts w:ascii="Arial" w:hAnsi="Arial" w:cs="Arial"/>
        </w:rPr>
        <w:t xml:space="preserve"> </w:t>
      </w:r>
      <w:r w:rsidRPr="009516A2">
        <w:rPr>
          <w:rFonts w:ascii="Arial" w:hAnsi="Arial" w:cs="Arial"/>
        </w:rPr>
        <w:t>investors. The Corporation allocates the proceeds from the issuance of these shares between the offering of</w:t>
      </w:r>
      <w:r w:rsidR="009516A2">
        <w:rPr>
          <w:rFonts w:ascii="Arial" w:hAnsi="Arial" w:cs="Arial"/>
        </w:rPr>
        <w:t xml:space="preserve"> </w:t>
      </w:r>
      <w:r w:rsidRPr="009516A2">
        <w:rPr>
          <w:rFonts w:ascii="Arial" w:hAnsi="Arial" w:cs="Arial"/>
        </w:rPr>
        <w:t>shares and the sale of tax benefits. The allocation is made based on the difference between the quoted price</w:t>
      </w:r>
      <w:r w:rsidR="009516A2">
        <w:rPr>
          <w:rFonts w:ascii="Arial" w:hAnsi="Arial" w:cs="Arial"/>
        </w:rPr>
        <w:t xml:space="preserve"> </w:t>
      </w:r>
      <w:r w:rsidRPr="009516A2">
        <w:rPr>
          <w:rFonts w:ascii="Arial" w:hAnsi="Arial" w:cs="Arial"/>
        </w:rPr>
        <w:t>of the shares and the amount the investor pays for the shares. A deferred flow through premium liability is</w:t>
      </w:r>
      <w:r w:rsidR="009516A2">
        <w:rPr>
          <w:rFonts w:ascii="Arial" w:hAnsi="Arial" w:cs="Arial"/>
        </w:rPr>
        <w:t xml:space="preserve"> </w:t>
      </w:r>
      <w:r w:rsidRPr="009516A2">
        <w:rPr>
          <w:rFonts w:ascii="Arial" w:hAnsi="Arial" w:cs="Arial"/>
        </w:rPr>
        <w:t xml:space="preserve">recognized for the difference. The liability is reversed </w:t>
      </w:r>
      <w:r w:rsidR="001635E9">
        <w:rPr>
          <w:rFonts w:ascii="Arial" w:hAnsi="Arial" w:cs="Arial"/>
        </w:rPr>
        <w:t xml:space="preserve">though other income in the </w:t>
      </w:r>
      <w:r w:rsidR="003800DF">
        <w:rPr>
          <w:rFonts w:ascii="Arial" w:hAnsi="Arial" w:cs="Arial"/>
        </w:rPr>
        <w:t>statement</w:t>
      </w:r>
      <w:r w:rsidRPr="009516A2">
        <w:rPr>
          <w:rFonts w:ascii="Arial" w:hAnsi="Arial" w:cs="Arial"/>
        </w:rPr>
        <w:t>. The spending also gives rise to a deferred tax timing difference between the carrying</w:t>
      </w:r>
      <w:r w:rsidR="00451734">
        <w:rPr>
          <w:rFonts w:ascii="Arial" w:hAnsi="Arial" w:cs="Arial"/>
        </w:rPr>
        <w:t xml:space="preserve"> </w:t>
      </w:r>
      <w:r w:rsidRPr="009516A2">
        <w:rPr>
          <w:rFonts w:ascii="Arial" w:hAnsi="Arial" w:cs="Arial"/>
        </w:rPr>
        <w:t>value and tax value of the qualifying expenditure.</w:t>
      </w:r>
    </w:p>
    <w:p w14:paraId="42E66E9A" w14:textId="77777777" w:rsidR="00A7016F" w:rsidRPr="00A153FB" w:rsidRDefault="00A7016F" w:rsidP="001E0283">
      <w:pPr>
        <w:autoSpaceDE w:val="0"/>
        <w:autoSpaceDN w:val="0"/>
        <w:adjustRightInd w:val="0"/>
        <w:ind w:left="851"/>
        <w:jc w:val="both"/>
        <w:rPr>
          <w:rFonts w:ascii="Arial" w:hAnsi="Arial" w:cs="Arial"/>
          <w:sz w:val="16"/>
          <w:szCs w:val="16"/>
        </w:rPr>
      </w:pPr>
    </w:p>
    <w:p w14:paraId="4ACD5944" w14:textId="77777777" w:rsidR="00A7016F" w:rsidRPr="00A153FB" w:rsidRDefault="00A7016F" w:rsidP="001E0283">
      <w:pPr>
        <w:autoSpaceDE w:val="0"/>
        <w:autoSpaceDN w:val="0"/>
        <w:adjustRightInd w:val="0"/>
        <w:ind w:left="851"/>
        <w:jc w:val="both"/>
        <w:rPr>
          <w:rFonts w:ascii="Arial" w:hAnsi="Arial" w:cs="Arial"/>
          <w:sz w:val="16"/>
          <w:szCs w:val="16"/>
        </w:rPr>
      </w:pPr>
    </w:p>
    <w:p w14:paraId="609EA678" w14:textId="77777777" w:rsidR="00064129" w:rsidRPr="00F56223" w:rsidRDefault="00C131D9" w:rsidP="001E0283">
      <w:pPr>
        <w:pStyle w:val="Heading5"/>
        <w:spacing w:before="1"/>
        <w:ind w:left="851"/>
        <w:rPr>
          <w:rFonts w:ascii="Arial" w:hAnsi="Arial" w:cs="Arial"/>
        </w:rPr>
      </w:pPr>
      <w:r w:rsidRPr="001D067F">
        <w:rPr>
          <w:rFonts w:ascii="Arial" w:eastAsiaTheme="minorHAnsi" w:hAnsi="Arial" w:cs="Arial"/>
        </w:rPr>
        <w:t>Government grants</w:t>
      </w:r>
    </w:p>
    <w:p w14:paraId="708AA15B" w14:textId="77777777" w:rsidR="00064129" w:rsidRDefault="00C131D9" w:rsidP="001E0283">
      <w:pPr>
        <w:pStyle w:val="BodyText"/>
        <w:ind w:left="851" w:right="777"/>
        <w:jc w:val="both"/>
        <w:rPr>
          <w:rFonts w:ascii="Arial" w:hAnsi="Arial" w:cs="Arial"/>
        </w:rPr>
      </w:pPr>
      <w:r w:rsidRPr="001D067F">
        <w:rPr>
          <w:rFonts w:ascii="Arial" w:hAnsi="Arial" w:cs="Arial"/>
        </w:rPr>
        <w:t>Government grants are recorded as other income when there is reasonable assurance that the Co</w:t>
      </w:r>
      <w:r w:rsidR="00A76D7A">
        <w:rPr>
          <w:rFonts w:ascii="Arial" w:hAnsi="Arial" w:cs="Arial"/>
        </w:rPr>
        <w:t>rporation</w:t>
      </w:r>
      <w:r w:rsidRPr="001D067F">
        <w:rPr>
          <w:rFonts w:ascii="Arial" w:hAnsi="Arial" w:cs="Arial"/>
        </w:rPr>
        <w:t xml:space="preserve"> has complied with and will continue to comply with, all necessary conditions to obtain the grants. These grants are used to reduce the related exploration expenditures.</w:t>
      </w:r>
    </w:p>
    <w:p w14:paraId="00871D64" w14:textId="77777777" w:rsidR="00064129" w:rsidRPr="009516A2" w:rsidRDefault="00064129" w:rsidP="001E0283">
      <w:pPr>
        <w:pStyle w:val="BodyText"/>
        <w:ind w:left="851" w:right="777"/>
        <w:jc w:val="both"/>
        <w:rPr>
          <w:rFonts w:ascii="Arial" w:hAnsi="Arial" w:cs="Arial"/>
        </w:rPr>
      </w:pPr>
    </w:p>
    <w:p w14:paraId="11EAC2A7" w14:textId="77777777" w:rsidR="00064129" w:rsidRDefault="00C131D9" w:rsidP="001E0283">
      <w:pPr>
        <w:pStyle w:val="BodyText"/>
        <w:ind w:left="851" w:right="777"/>
        <w:jc w:val="both"/>
        <w:rPr>
          <w:rFonts w:ascii="Arial" w:eastAsiaTheme="minorHAnsi" w:hAnsi="Arial" w:cs="Arial"/>
          <w:b/>
          <w:bCs/>
        </w:rPr>
      </w:pPr>
      <w:r w:rsidRPr="001D067F">
        <w:rPr>
          <w:rFonts w:ascii="Arial" w:eastAsiaTheme="minorHAnsi" w:hAnsi="Arial" w:cs="Arial"/>
          <w:b/>
          <w:bCs/>
        </w:rPr>
        <w:t xml:space="preserve">Timber </w:t>
      </w:r>
      <w:proofErr w:type="gramStart"/>
      <w:r w:rsidRPr="001D067F">
        <w:rPr>
          <w:rFonts w:ascii="Arial" w:eastAsiaTheme="minorHAnsi" w:hAnsi="Arial" w:cs="Arial"/>
          <w:b/>
          <w:bCs/>
        </w:rPr>
        <w:t>sales</w:t>
      </w:r>
      <w:proofErr w:type="gramEnd"/>
      <w:r w:rsidRPr="001D067F">
        <w:rPr>
          <w:rFonts w:ascii="Arial" w:eastAsiaTheme="minorHAnsi" w:hAnsi="Arial" w:cs="Arial"/>
          <w:b/>
          <w:bCs/>
        </w:rPr>
        <w:t xml:space="preserve"> </w:t>
      </w:r>
    </w:p>
    <w:p w14:paraId="1AED5811" w14:textId="77777777" w:rsidR="00064129" w:rsidRPr="009516A2" w:rsidRDefault="00064129" w:rsidP="001E0283">
      <w:pPr>
        <w:pStyle w:val="BodyText"/>
        <w:ind w:left="851" w:right="777"/>
        <w:jc w:val="both"/>
        <w:rPr>
          <w:rFonts w:ascii="Arial" w:hAnsi="Arial" w:cs="Arial"/>
        </w:rPr>
      </w:pPr>
    </w:p>
    <w:p w14:paraId="3A678BB2" w14:textId="77777777" w:rsidR="00064129" w:rsidRDefault="00C131D9" w:rsidP="001E0283">
      <w:pPr>
        <w:pStyle w:val="BodyText"/>
        <w:ind w:left="851" w:right="777"/>
        <w:jc w:val="both"/>
        <w:rPr>
          <w:rFonts w:ascii="Arial" w:eastAsiaTheme="minorHAnsi" w:hAnsi="Arial" w:cs="Arial"/>
          <w:bCs/>
        </w:rPr>
      </w:pPr>
      <w:r w:rsidRPr="001D067F">
        <w:rPr>
          <w:rFonts w:ascii="Arial" w:eastAsiaTheme="minorHAnsi" w:hAnsi="Arial" w:cs="Arial"/>
          <w:bCs/>
        </w:rPr>
        <w:t>The Co</w:t>
      </w:r>
      <w:r w:rsidR="00A76D7A">
        <w:rPr>
          <w:rFonts w:ascii="Arial" w:eastAsiaTheme="minorHAnsi" w:hAnsi="Arial" w:cs="Arial"/>
          <w:bCs/>
        </w:rPr>
        <w:t>rporation</w:t>
      </w:r>
      <w:r w:rsidRPr="001D067F">
        <w:rPr>
          <w:rFonts w:ascii="Arial" w:eastAsiaTheme="minorHAnsi" w:hAnsi="Arial" w:cs="Arial"/>
          <w:bCs/>
        </w:rPr>
        <w:t xml:space="preserve"> engages with third parties for sale of its Royalty on timber. The proceeds from these sales have been recorded as other income.</w:t>
      </w:r>
    </w:p>
    <w:p w14:paraId="11D22C29" w14:textId="77777777" w:rsidR="00064129" w:rsidRPr="009516A2" w:rsidRDefault="00064129" w:rsidP="001E0283">
      <w:pPr>
        <w:pStyle w:val="BodyText"/>
        <w:ind w:left="851" w:right="777"/>
        <w:jc w:val="both"/>
        <w:rPr>
          <w:rFonts w:ascii="Arial" w:hAnsi="Arial" w:cs="Arial"/>
        </w:rPr>
      </w:pPr>
    </w:p>
    <w:p w14:paraId="1CF963DC" w14:textId="1172D2B6" w:rsidR="00B302B8" w:rsidRPr="00CA366F" w:rsidRDefault="00B302B8" w:rsidP="001E0283">
      <w:pPr>
        <w:pStyle w:val="ListParagraph"/>
        <w:numPr>
          <w:ilvl w:val="0"/>
          <w:numId w:val="6"/>
        </w:numPr>
        <w:tabs>
          <w:tab w:val="left" w:pos="1002"/>
        </w:tabs>
        <w:ind w:left="851" w:firstLine="0"/>
        <w:rPr>
          <w:rFonts w:ascii="Arial" w:hAnsi="Arial" w:cs="Arial"/>
          <w:b/>
          <w:sz w:val="16"/>
          <w:szCs w:val="16"/>
        </w:rPr>
      </w:pPr>
      <w:r w:rsidRPr="00CA366F">
        <w:rPr>
          <w:rFonts w:ascii="Arial" w:hAnsi="Arial" w:cs="Arial"/>
          <w:b/>
          <w:sz w:val="16"/>
          <w:szCs w:val="16"/>
        </w:rPr>
        <w:t>RECENT ACCOUNTING</w:t>
      </w:r>
      <w:r w:rsidRPr="00CA366F">
        <w:rPr>
          <w:rFonts w:ascii="Arial" w:hAnsi="Arial" w:cs="Arial"/>
          <w:b/>
          <w:spacing w:val="-3"/>
          <w:sz w:val="16"/>
          <w:szCs w:val="16"/>
        </w:rPr>
        <w:t xml:space="preserve"> </w:t>
      </w:r>
      <w:r w:rsidRPr="00CA366F">
        <w:rPr>
          <w:rFonts w:ascii="Arial" w:hAnsi="Arial" w:cs="Arial"/>
          <w:b/>
          <w:sz w:val="16"/>
          <w:szCs w:val="16"/>
        </w:rPr>
        <w:t>PRONOUNCEMENTS</w:t>
      </w:r>
    </w:p>
    <w:p w14:paraId="43CA9890" w14:textId="77777777" w:rsidR="00E527B5" w:rsidRDefault="00E527B5" w:rsidP="001E0283">
      <w:pPr>
        <w:pStyle w:val="Heading5"/>
        <w:spacing w:before="1"/>
        <w:ind w:left="851"/>
        <w:rPr>
          <w:rFonts w:ascii="Arial" w:eastAsiaTheme="minorHAnsi" w:hAnsi="Arial" w:cs="Arial"/>
          <w:lang w:val="en-US"/>
        </w:rPr>
      </w:pPr>
    </w:p>
    <w:p w14:paraId="48BFC3DD" w14:textId="61242C76" w:rsidR="00A81675" w:rsidRPr="00717407" w:rsidRDefault="00AA20F7" w:rsidP="001E0283">
      <w:pPr>
        <w:pStyle w:val="Heading5"/>
        <w:spacing w:before="1"/>
        <w:ind w:left="851"/>
        <w:rPr>
          <w:rFonts w:ascii="Arial" w:hAnsi="Arial" w:cs="Arial"/>
        </w:rPr>
      </w:pPr>
      <w:r w:rsidRPr="00C24B7A">
        <w:rPr>
          <w:rFonts w:ascii="Arial" w:eastAsiaTheme="minorHAnsi" w:hAnsi="Arial" w:cs="Arial"/>
          <w:lang w:val="en-US"/>
        </w:rPr>
        <w:t>S</w:t>
      </w:r>
      <w:r w:rsidR="00A81675" w:rsidRPr="00C24B7A">
        <w:rPr>
          <w:rFonts w:ascii="Arial" w:eastAsiaTheme="minorHAnsi" w:hAnsi="Arial" w:cs="Arial"/>
          <w:lang w:val="en-US"/>
        </w:rPr>
        <w:t>tandards adopted</w:t>
      </w:r>
      <w:r w:rsidRPr="00C24B7A">
        <w:rPr>
          <w:rFonts w:ascii="Arial" w:eastAsiaTheme="minorHAnsi" w:hAnsi="Arial" w:cs="Arial"/>
          <w:lang w:val="en-US"/>
        </w:rPr>
        <w:t xml:space="preserve"> during the </w:t>
      </w:r>
      <w:proofErr w:type="gramStart"/>
      <w:r w:rsidRPr="00C24B7A">
        <w:rPr>
          <w:rFonts w:ascii="Arial" w:eastAsiaTheme="minorHAnsi" w:hAnsi="Arial" w:cs="Arial"/>
          <w:lang w:val="en-US"/>
        </w:rPr>
        <w:t>year</w:t>
      </w:r>
      <w:proofErr w:type="gramEnd"/>
    </w:p>
    <w:p w14:paraId="4BD1CDB4" w14:textId="77777777" w:rsidR="00A7016F" w:rsidRPr="00A153FB" w:rsidRDefault="00A7016F" w:rsidP="001E0283">
      <w:pPr>
        <w:autoSpaceDE w:val="0"/>
        <w:autoSpaceDN w:val="0"/>
        <w:adjustRightInd w:val="0"/>
        <w:ind w:left="851"/>
        <w:jc w:val="both"/>
        <w:rPr>
          <w:rFonts w:ascii="Arial" w:hAnsi="Arial" w:cs="Arial"/>
          <w:sz w:val="16"/>
          <w:szCs w:val="16"/>
        </w:rPr>
      </w:pPr>
    </w:p>
    <w:p w14:paraId="7E777523" w14:textId="77777777" w:rsidR="00A81675" w:rsidRDefault="00A81675" w:rsidP="001E0283">
      <w:pPr>
        <w:pStyle w:val="Heading5"/>
        <w:spacing w:before="1"/>
        <w:ind w:left="851"/>
        <w:rPr>
          <w:rFonts w:ascii="Arial" w:eastAsiaTheme="minorHAnsi" w:hAnsi="Arial" w:cs="Arial"/>
          <w:lang w:val="en-US"/>
        </w:rPr>
      </w:pPr>
      <w:r w:rsidRPr="00A305B2">
        <w:rPr>
          <w:rFonts w:ascii="Arial" w:eastAsiaTheme="minorHAnsi" w:hAnsi="Arial" w:cs="Arial"/>
          <w:lang w:val="en-US"/>
        </w:rPr>
        <w:t>Disclosure of Accounting Policies (Amendments to IAS 1)</w:t>
      </w:r>
    </w:p>
    <w:p w14:paraId="47D5AA0A" w14:textId="77777777" w:rsidR="00A81675" w:rsidRPr="006A7B76" w:rsidRDefault="00A81675" w:rsidP="001E0283">
      <w:pPr>
        <w:pStyle w:val="Heading5"/>
        <w:spacing w:before="1"/>
        <w:ind w:left="851"/>
        <w:rPr>
          <w:rFonts w:ascii="Arial" w:hAnsi="Arial" w:cs="Arial"/>
        </w:rPr>
      </w:pPr>
    </w:p>
    <w:p w14:paraId="6AE911E1" w14:textId="070C279F" w:rsidR="00A81675" w:rsidRPr="009516A2" w:rsidRDefault="00A81675" w:rsidP="001E0283">
      <w:pPr>
        <w:pStyle w:val="BodyText"/>
        <w:ind w:left="851" w:right="777"/>
        <w:jc w:val="both"/>
        <w:rPr>
          <w:rFonts w:ascii="Arial" w:hAnsi="Arial" w:cs="Arial"/>
        </w:rPr>
      </w:pPr>
      <w:r w:rsidRPr="00A305B2">
        <w:rPr>
          <w:rFonts w:ascii="Arial" w:eastAsiaTheme="minorHAnsi" w:hAnsi="Arial" w:cs="Arial"/>
          <w:lang w:val="en-US"/>
        </w:rPr>
        <w:t xml:space="preserve">The IASB has issued amendments to IAS 1 </w:t>
      </w:r>
      <w:r w:rsidRPr="00A305B2">
        <w:rPr>
          <w:rFonts w:ascii="Arial" w:eastAsiaTheme="minorHAnsi" w:hAnsi="Arial" w:cs="Arial"/>
          <w:i/>
          <w:iCs/>
          <w:lang w:val="en-US"/>
        </w:rPr>
        <w:t xml:space="preserve">Presentation of Financial Statements </w:t>
      </w:r>
      <w:r w:rsidRPr="00A305B2">
        <w:rPr>
          <w:rFonts w:ascii="Arial" w:eastAsiaTheme="minorHAnsi" w:hAnsi="Arial" w:cs="Arial"/>
          <w:lang w:val="en-US"/>
        </w:rPr>
        <w:t>which require entities to disclose their “material” accounting policy information rather than their “significant” accounting policies.</w:t>
      </w:r>
      <w:r>
        <w:rPr>
          <w:rFonts w:ascii="Arial" w:eastAsiaTheme="minorHAnsi" w:hAnsi="Arial" w:cs="Arial"/>
          <w:lang w:val="en-US"/>
        </w:rPr>
        <w:t xml:space="preserve"> </w:t>
      </w:r>
      <w:r w:rsidRPr="00A305B2">
        <w:rPr>
          <w:rFonts w:ascii="Arial" w:eastAsiaTheme="minorHAnsi" w:hAnsi="Arial" w:cs="Arial"/>
          <w:lang w:val="en-US"/>
        </w:rPr>
        <w:t xml:space="preserve">The amendments explain that accounting policy information is material if omitting, </w:t>
      </w:r>
      <w:proofErr w:type="gramStart"/>
      <w:r w:rsidRPr="00A305B2">
        <w:rPr>
          <w:rFonts w:ascii="Arial" w:eastAsiaTheme="minorHAnsi" w:hAnsi="Arial" w:cs="Arial"/>
          <w:lang w:val="en-US"/>
        </w:rPr>
        <w:t>misstating</w:t>
      </w:r>
      <w:proofErr w:type="gramEnd"/>
      <w:r w:rsidRPr="00A305B2">
        <w:rPr>
          <w:rFonts w:ascii="Arial" w:eastAsiaTheme="minorHAnsi" w:hAnsi="Arial" w:cs="Arial"/>
          <w:lang w:val="en-US"/>
        </w:rPr>
        <w:t xml:space="preserve"> or obscuring that</w:t>
      </w:r>
      <w:r>
        <w:rPr>
          <w:rFonts w:ascii="Arial" w:eastAsiaTheme="minorHAnsi" w:hAnsi="Arial" w:cs="Arial"/>
          <w:lang w:val="en-US"/>
        </w:rPr>
        <w:t xml:space="preserve"> </w:t>
      </w:r>
      <w:r w:rsidRPr="00A305B2">
        <w:rPr>
          <w:rFonts w:ascii="Arial" w:eastAsiaTheme="minorHAnsi" w:hAnsi="Arial" w:cs="Arial"/>
          <w:lang w:val="en-US"/>
        </w:rPr>
        <w:t>information could reasonably be expected to influence decisions that the primary users of the</w:t>
      </w:r>
      <w:r w:rsidR="009026FA">
        <w:rPr>
          <w:rFonts w:ascii="Arial" w:eastAsiaTheme="minorHAnsi" w:hAnsi="Arial" w:cs="Arial"/>
          <w:lang w:val="en-US"/>
        </w:rPr>
        <w:t>se consolidated</w:t>
      </w:r>
      <w:r w:rsidRPr="00A305B2">
        <w:rPr>
          <w:rFonts w:ascii="Arial" w:eastAsiaTheme="minorHAnsi" w:hAnsi="Arial" w:cs="Arial"/>
          <w:lang w:val="en-US"/>
        </w:rPr>
        <w:t xml:space="preserve"> financial statements make on the basis of th</w:t>
      </w:r>
      <w:r w:rsidR="009026FA">
        <w:rPr>
          <w:rFonts w:ascii="Arial" w:eastAsiaTheme="minorHAnsi" w:hAnsi="Arial" w:cs="Arial"/>
          <w:lang w:val="en-US"/>
        </w:rPr>
        <w:t>ese consolidated</w:t>
      </w:r>
      <w:r w:rsidRPr="00A305B2">
        <w:rPr>
          <w:rFonts w:ascii="Arial" w:eastAsiaTheme="minorHAnsi" w:hAnsi="Arial" w:cs="Arial"/>
          <w:lang w:val="en-US"/>
        </w:rPr>
        <w:t xml:space="preserve"> financial statements. The amendments also clarify that accounting policy information may be material because of its nature, even if the related amounts are immaterial. This amendment is effective for annual periods beginning on or after January 1, 2023</w:t>
      </w:r>
      <w:r w:rsidR="00AA20F7">
        <w:rPr>
          <w:rFonts w:ascii="Arial" w:eastAsiaTheme="minorHAnsi" w:hAnsi="Arial" w:cs="Arial"/>
          <w:lang w:val="en-US"/>
        </w:rPr>
        <w:t>. The adoption of these amendments did not have a significant impact on the Co</w:t>
      </w:r>
      <w:r w:rsidR="00A76D7A">
        <w:rPr>
          <w:rFonts w:ascii="Arial" w:eastAsiaTheme="minorHAnsi" w:hAnsi="Arial" w:cs="Arial"/>
          <w:lang w:val="en-US"/>
        </w:rPr>
        <w:t>rporation</w:t>
      </w:r>
      <w:r w:rsidR="00AA20F7">
        <w:rPr>
          <w:rFonts w:ascii="Arial" w:eastAsiaTheme="minorHAnsi" w:hAnsi="Arial" w:cs="Arial"/>
          <w:lang w:val="en-US"/>
        </w:rPr>
        <w:t xml:space="preserve">’s </w:t>
      </w:r>
      <w:r w:rsidR="00431097">
        <w:rPr>
          <w:rFonts w:ascii="Arial" w:eastAsiaTheme="minorHAnsi" w:hAnsi="Arial" w:cs="Arial"/>
          <w:lang w:val="en-US"/>
        </w:rPr>
        <w:t xml:space="preserve">consolidated </w:t>
      </w:r>
      <w:r w:rsidR="00E527B5">
        <w:rPr>
          <w:rFonts w:ascii="Arial" w:eastAsiaTheme="minorHAnsi" w:hAnsi="Arial" w:cs="Arial"/>
          <w:lang w:val="en-US"/>
        </w:rPr>
        <w:t>f</w:t>
      </w:r>
      <w:r w:rsidR="00AA20F7">
        <w:rPr>
          <w:rFonts w:ascii="Arial" w:eastAsiaTheme="minorHAnsi" w:hAnsi="Arial" w:cs="Arial"/>
          <w:lang w:val="en-US"/>
        </w:rPr>
        <w:t xml:space="preserve">inancial </w:t>
      </w:r>
      <w:r w:rsidR="00E527B5">
        <w:rPr>
          <w:rFonts w:ascii="Arial" w:eastAsiaTheme="minorHAnsi" w:hAnsi="Arial" w:cs="Arial"/>
          <w:lang w:val="en-US"/>
        </w:rPr>
        <w:t>s</w:t>
      </w:r>
      <w:r w:rsidR="00AA20F7">
        <w:rPr>
          <w:rFonts w:ascii="Arial" w:eastAsiaTheme="minorHAnsi" w:hAnsi="Arial" w:cs="Arial"/>
          <w:lang w:val="en-US"/>
        </w:rPr>
        <w:t>tatements.</w:t>
      </w:r>
    </w:p>
    <w:p w14:paraId="6B7392C0" w14:textId="77777777" w:rsidR="00A7016F" w:rsidRPr="00A153FB" w:rsidRDefault="00A7016F" w:rsidP="001E0283">
      <w:pPr>
        <w:autoSpaceDE w:val="0"/>
        <w:autoSpaceDN w:val="0"/>
        <w:adjustRightInd w:val="0"/>
        <w:ind w:left="851"/>
        <w:jc w:val="both"/>
        <w:rPr>
          <w:rFonts w:ascii="Arial" w:hAnsi="Arial" w:cs="Arial"/>
          <w:sz w:val="16"/>
          <w:szCs w:val="16"/>
        </w:rPr>
      </w:pPr>
    </w:p>
    <w:p w14:paraId="193581E0" w14:textId="77777777" w:rsidR="00A81675" w:rsidRPr="006A7B76" w:rsidRDefault="00A81675" w:rsidP="001E0283">
      <w:pPr>
        <w:pStyle w:val="Heading5"/>
        <w:spacing w:before="1"/>
        <w:ind w:left="851"/>
        <w:rPr>
          <w:rFonts w:ascii="Arial" w:hAnsi="Arial" w:cs="Arial"/>
        </w:rPr>
      </w:pPr>
      <w:r w:rsidRPr="00A305B2">
        <w:rPr>
          <w:rFonts w:ascii="Arial" w:eastAsiaTheme="minorHAnsi" w:hAnsi="Arial" w:cs="Arial"/>
          <w:lang w:val="en-US"/>
        </w:rPr>
        <w:t>Definition of Accounting Estimates (Amendments to IAS 8)</w:t>
      </w:r>
    </w:p>
    <w:p w14:paraId="5D8C53B1" w14:textId="77777777" w:rsidR="00A7016F" w:rsidRPr="00A153FB" w:rsidRDefault="00A7016F" w:rsidP="001E0283">
      <w:pPr>
        <w:autoSpaceDE w:val="0"/>
        <w:autoSpaceDN w:val="0"/>
        <w:adjustRightInd w:val="0"/>
        <w:ind w:left="851"/>
        <w:jc w:val="both"/>
        <w:rPr>
          <w:rFonts w:ascii="Arial" w:hAnsi="Arial" w:cs="Arial"/>
          <w:sz w:val="16"/>
          <w:szCs w:val="16"/>
        </w:rPr>
      </w:pPr>
    </w:p>
    <w:p w14:paraId="1B4670CC" w14:textId="7B4DBBC3" w:rsidR="00AA20F7" w:rsidRPr="009516A2" w:rsidRDefault="00A81675" w:rsidP="001E0283">
      <w:pPr>
        <w:pStyle w:val="BodyText"/>
        <w:ind w:left="851" w:right="777"/>
        <w:jc w:val="both"/>
        <w:rPr>
          <w:rFonts w:ascii="Arial" w:hAnsi="Arial" w:cs="Arial"/>
        </w:rPr>
      </w:pPr>
      <w:r w:rsidRPr="00A305B2">
        <w:rPr>
          <w:rFonts w:ascii="Arial" w:eastAsiaTheme="minorHAnsi" w:hAnsi="Arial" w:cs="Arial"/>
          <w:lang w:val="en-US"/>
        </w:rPr>
        <w:t xml:space="preserve">The IASB has issued amendments to IAS 8 </w:t>
      </w:r>
      <w:r w:rsidRPr="00A305B2">
        <w:rPr>
          <w:rFonts w:ascii="Arial" w:eastAsiaTheme="minorHAnsi" w:hAnsi="Arial" w:cs="Arial"/>
          <w:i/>
          <w:iCs/>
          <w:lang w:val="en-US"/>
        </w:rPr>
        <w:t>Accounting Policies, Changes in Accounting Estimates and Errors</w:t>
      </w:r>
      <w:r w:rsidRPr="00A305B2">
        <w:rPr>
          <w:rFonts w:ascii="Arial" w:eastAsiaTheme="minorHAnsi" w:hAnsi="Arial" w:cs="Arial"/>
          <w:lang w:val="en-US"/>
        </w:rPr>
        <w:t xml:space="preserve"> which introduce a definition of accounting estimates and provide other clarifications to help entities distinguish accounting policies from accounting estimates. Under the amendments, accounting estimates are defined as “monetary amounts in financial statements that are subject to measurement uncertainty”. The amendments also emphasize that a change in an accounting estimate that results from new information or new developments is not an error correction, and that changes in an input or a measurement technique used to develop an accounting estimate are considered changes in accounting estimates if those changes in an input or measurement technique are not the result of an error correction. This amendment is effective for annual periods beginning on or after January 1, 2023. </w:t>
      </w:r>
      <w:r w:rsidR="00AA20F7">
        <w:rPr>
          <w:rFonts w:ascii="Arial" w:eastAsiaTheme="minorHAnsi" w:hAnsi="Arial" w:cs="Arial"/>
          <w:lang w:val="en-US"/>
        </w:rPr>
        <w:t>The adoption of these amendments did not have a significant impact on the Co</w:t>
      </w:r>
      <w:r w:rsidR="00A76D7A">
        <w:rPr>
          <w:rFonts w:ascii="Arial" w:eastAsiaTheme="minorHAnsi" w:hAnsi="Arial" w:cs="Arial"/>
          <w:lang w:val="en-US"/>
        </w:rPr>
        <w:t>rporation</w:t>
      </w:r>
      <w:r w:rsidR="00AA20F7">
        <w:rPr>
          <w:rFonts w:ascii="Arial" w:eastAsiaTheme="minorHAnsi" w:hAnsi="Arial" w:cs="Arial"/>
          <w:lang w:val="en-US"/>
        </w:rPr>
        <w:t>’s</w:t>
      </w:r>
      <w:r w:rsidR="00431097">
        <w:rPr>
          <w:rFonts w:ascii="Arial" w:eastAsiaTheme="minorHAnsi" w:hAnsi="Arial" w:cs="Arial"/>
          <w:lang w:val="en-US"/>
        </w:rPr>
        <w:t xml:space="preserve"> consolidated</w:t>
      </w:r>
      <w:r w:rsidR="00AA20F7">
        <w:rPr>
          <w:rFonts w:ascii="Arial" w:eastAsiaTheme="minorHAnsi" w:hAnsi="Arial" w:cs="Arial"/>
          <w:lang w:val="en-US"/>
        </w:rPr>
        <w:t xml:space="preserve"> </w:t>
      </w:r>
      <w:r w:rsidR="00E527B5">
        <w:rPr>
          <w:rFonts w:ascii="Arial" w:eastAsiaTheme="minorHAnsi" w:hAnsi="Arial" w:cs="Arial"/>
          <w:lang w:val="en-US"/>
        </w:rPr>
        <w:t>f</w:t>
      </w:r>
      <w:r w:rsidR="00AA20F7">
        <w:rPr>
          <w:rFonts w:ascii="Arial" w:eastAsiaTheme="minorHAnsi" w:hAnsi="Arial" w:cs="Arial"/>
          <w:lang w:val="en-US"/>
        </w:rPr>
        <w:t xml:space="preserve">inancial </w:t>
      </w:r>
      <w:r w:rsidR="00E527B5">
        <w:rPr>
          <w:rFonts w:ascii="Arial" w:eastAsiaTheme="minorHAnsi" w:hAnsi="Arial" w:cs="Arial"/>
          <w:lang w:val="en-US"/>
        </w:rPr>
        <w:t>s</w:t>
      </w:r>
      <w:r w:rsidR="00AA20F7">
        <w:rPr>
          <w:rFonts w:ascii="Arial" w:eastAsiaTheme="minorHAnsi" w:hAnsi="Arial" w:cs="Arial"/>
          <w:lang w:val="en-US"/>
        </w:rPr>
        <w:t>tatements.</w:t>
      </w:r>
    </w:p>
    <w:p w14:paraId="3A0B4615" w14:textId="77777777" w:rsidR="00A7016F" w:rsidRPr="00A153FB" w:rsidRDefault="00A7016F" w:rsidP="001E0283">
      <w:pPr>
        <w:autoSpaceDE w:val="0"/>
        <w:autoSpaceDN w:val="0"/>
        <w:adjustRightInd w:val="0"/>
        <w:ind w:left="851"/>
        <w:jc w:val="both"/>
        <w:rPr>
          <w:rFonts w:ascii="Arial" w:hAnsi="Arial" w:cs="Arial"/>
          <w:sz w:val="16"/>
          <w:szCs w:val="16"/>
        </w:rPr>
      </w:pPr>
    </w:p>
    <w:p w14:paraId="2A65F34B" w14:textId="77777777" w:rsidR="00A81675" w:rsidRPr="006A7B76" w:rsidRDefault="00A81675" w:rsidP="001E0283">
      <w:pPr>
        <w:pStyle w:val="Heading5"/>
        <w:spacing w:before="1"/>
        <w:ind w:left="851"/>
        <w:rPr>
          <w:rFonts w:ascii="Arial" w:hAnsi="Arial" w:cs="Arial"/>
        </w:rPr>
      </w:pPr>
      <w:r w:rsidRPr="00A305B2">
        <w:rPr>
          <w:rFonts w:ascii="Arial" w:eastAsiaTheme="minorHAnsi" w:hAnsi="Arial" w:cs="Arial"/>
          <w:lang w:val="en-US"/>
        </w:rPr>
        <w:t>Deferred Tax related to Assets and Liabilities arising from a Single Transaction (Amendments to IFRS 1 and IAS 12)</w:t>
      </w:r>
    </w:p>
    <w:p w14:paraId="5FB37A55" w14:textId="77777777" w:rsidR="00A81675" w:rsidRDefault="00A81675" w:rsidP="001E0283">
      <w:pPr>
        <w:tabs>
          <w:tab w:val="left" w:pos="1808"/>
        </w:tabs>
        <w:spacing w:line="262" w:lineRule="auto"/>
        <w:ind w:left="851" w:right="777"/>
        <w:jc w:val="both"/>
        <w:rPr>
          <w:rFonts w:ascii="Arial" w:hAnsi="Arial" w:cs="Arial"/>
          <w:sz w:val="16"/>
          <w:szCs w:val="16"/>
        </w:rPr>
      </w:pPr>
    </w:p>
    <w:p w14:paraId="660A64F4" w14:textId="770BB311" w:rsidR="00AA20F7" w:rsidRPr="009516A2" w:rsidRDefault="00A81675" w:rsidP="001E0283">
      <w:pPr>
        <w:pStyle w:val="BodyText"/>
        <w:ind w:left="851" w:right="777"/>
        <w:jc w:val="both"/>
        <w:rPr>
          <w:rFonts w:ascii="Arial" w:hAnsi="Arial" w:cs="Arial"/>
        </w:rPr>
      </w:pPr>
      <w:r w:rsidRPr="00A305B2">
        <w:rPr>
          <w:rFonts w:ascii="Arial" w:eastAsiaTheme="minorHAnsi" w:hAnsi="Arial" w:cs="Arial"/>
          <w:lang w:val="en-US"/>
        </w:rPr>
        <w:t xml:space="preserve">The IASB has issued amendments to IFRS 1 </w:t>
      </w:r>
      <w:r w:rsidRPr="00A305B2">
        <w:rPr>
          <w:rFonts w:ascii="Arial" w:eastAsiaTheme="minorHAnsi" w:hAnsi="Arial" w:cs="Arial"/>
          <w:i/>
          <w:iCs/>
          <w:lang w:val="en-US"/>
        </w:rPr>
        <w:t>First-time Adoption of International Financial Reporting Standards</w:t>
      </w:r>
      <w:r w:rsidRPr="00A305B2">
        <w:rPr>
          <w:rFonts w:ascii="Arial" w:eastAsiaTheme="minorHAnsi" w:hAnsi="Arial" w:cs="Arial"/>
          <w:lang w:val="en-US"/>
        </w:rPr>
        <w:t xml:space="preserve"> and IAS 12 </w:t>
      </w:r>
      <w:r w:rsidRPr="00A305B2">
        <w:rPr>
          <w:rFonts w:ascii="Arial" w:eastAsiaTheme="minorHAnsi" w:hAnsi="Arial" w:cs="Arial"/>
          <w:i/>
          <w:iCs/>
          <w:lang w:val="en-US"/>
        </w:rPr>
        <w:t xml:space="preserve">Income Taxes </w:t>
      </w:r>
      <w:r w:rsidRPr="00A305B2">
        <w:rPr>
          <w:rFonts w:ascii="Arial" w:eastAsiaTheme="minorHAnsi" w:hAnsi="Arial" w:cs="Arial"/>
          <w:lang w:val="en-US"/>
        </w:rPr>
        <w:t xml:space="preserve">which clarify that the initial recognition exemption set out in IAS 12 does not apply to transactions that give rise to equal taxable and deductible temporary differences. The aim of the amendments is to reduce diversity in the reporting of deferred tax on leases and decommissioning obligations. This amendment is effective for annual periods beginning on or after January 1, 2023. </w:t>
      </w:r>
      <w:r w:rsidR="00AA20F7">
        <w:rPr>
          <w:rFonts w:ascii="Arial" w:eastAsiaTheme="minorHAnsi" w:hAnsi="Arial" w:cs="Arial"/>
          <w:lang w:val="en-US"/>
        </w:rPr>
        <w:t>The adoption of these amendments did not have a significant impact on the Co</w:t>
      </w:r>
      <w:r w:rsidR="00A76D7A">
        <w:rPr>
          <w:rFonts w:ascii="Arial" w:eastAsiaTheme="minorHAnsi" w:hAnsi="Arial" w:cs="Arial"/>
          <w:lang w:val="en-US"/>
        </w:rPr>
        <w:t>rporation</w:t>
      </w:r>
      <w:r w:rsidR="00AA20F7">
        <w:rPr>
          <w:rFonts w:ascii="Arial" w:eastAsiaTheme="minorHAnsi" w:hAnsi="Arial" w:cs="Arial"/>
          <w:lang w:val="en-US"/>
        </w:rPr>
        <w:t xml:space="preserve">’s </w:t>
      </w:r>
      <w:r w:rsidR="00431097">
        <w:rPr>
          <w:rFonts w:ascii="Arial" w:eastAsiaTheme="minorHAnsi" w:hAnsi="Arial" w:cs="Arial"/>
          <w:lang w:val="en-US"/>
        </w:rPr>
        <w:t xml:space="preserve">consolidated </w:t>
      </w:r>
      <w:r w:rsidR="00E527B5">
        <w:rPr>
          <w:rFonts w:ascii="Arial" w:eastAsiaTheme="minorHAnsi" w:hAnsi="Arial" w:cs="Arial"/>
          <w:lang w:val="en-US"/>
        </w:rPr>
        <w:t>f</w:t>
      </w:r>
      <w:r w:rsidR="00AA20F7">
        <w:rPr>
          <w:rFonts w:ascii="Arial" w:eastAsiaTheme="minorHAnsi" w:hAnsi="Arial" w:cs="Arial"/>
          <w:lang w:val="en-US"/>
        </w:rPr>
        <w:t xml:space="preserve">inancial </w:t>
      </w:r>
      <w:r w:rsidR="00E527B5">
        <w:rPr>
          <w:rFonts w:ascii="Arial" w:eastAsiaTheme="minorHAnsi" w:hAnsi="Arial" w:cs="Arial"/>
          <w:lang w:val="en-US"/>
        </w:rPr>
        <w:t>s</w:t>
      </w:r>
      <w:r w:rsidR="00AA20F7">
        <w:rPr>
          <w:rFonts w:ascii="Arial" w:eastAsiaTheme="minorHAnsi" w:hAnsi="Arial" w:cs="Arial"/>
          <w:lang w:val="en-US"/>
        </w:rPr>
        <w:t>tatements.</w:t>
      </w:r>
    </w:p>
    <w:p w14:paraId="26A11714" w14:textId="37CFCA2B" w:rsidR="00A81675" w:rsidRPr="00AA20F7" w:rsidRDefault="00A81675" w:rsidP="001E0283">
      <w:pPr>
        <w:pStyle w:val="BodyText"/>
        <w:ind w:left="851" w:right="777"/>
        <w:jc w:val="both"/>
        <w:rPr>
          <w:rFonts w:ascii="Arial" w:hAnsi="Arial" w:cs="Arial"/>
          <w:b/>
          <w:bCs/>
        </w:rPr>
      </w:pPr>
    </w:p>
    <w:p w14:paraId="0CFF3335" w14:textId="55365AE7" w:rsidR="00A81675" w:rsidRDefault="00AA20F7" w:rsidP="001E0283">
      <w:pPr>
        <w:autoSpaceDE w:val="0"/>
        <w:autoSpaceDN w:val="0"/>
        <w:adjustRightInd w:val="0"/>
        <w:ind w:left="851"/>
        <w:jc w:val="both"/>
        <w:rPr>
          <w:rFonts w:ascii="Arial" w:hAnsi="Arial" w:cs="Arial"/>
          <w:b/>
          <w:bCs/>
          <w:sz w:val="16"/>
          <w:szCs w:val="16"/>
        </w:rPr>
      </w:pPr>
      <w:r w:rsidRPr="00AA20F7">
        <w:rPr>
          <w:rFonts w:ascii="Arial" w:hAnsi="Arial" w:cs="Arial"/>
          <w:b/>
          <w:bCs/>
          <w:sz w:val="16"/>
          <w:szCs w:val="16"/>
        </w:rPr>
        <w:t>New Standard</w:t>
      </w:r>
      <w:r w:rsidR="00717407">
        <w:rPr>
          <w:rFonts w:ascii="Arial" w:hAnsi="Arial" w:cs="Arial"/>
          <w:b/>
          <w:bCs/>
          <w:sz w:val="16"/>
          <w:szCs w:val="16"/>
        </w:rPr>
        <w:t>s</w:t>
      </w:r>
      <w:r w:rsidRPr="00AA20F7">
        <w:rPr>
          <w:rFonts w:ascii="Arial" w:hAnsi="Arial" w:cs="Arial"/>
          <w:b/>
          <w:bCs/>
          <w:sz w:val="16"/>
          <w:szCs w:val="16"/>
        </w:rPr>
        <w:t xml:space="preserve"> not yet </w:t>
      </w:r>
      <w:proofErr w:type="gramStart"/>
      <w:r w:rsidRPr="00AA20F7">
        <w:rPr>
          <w:rFonts w:ascii="Arial" w:hAnsi="Arial" w:cs="Arial"/>
          <w:b/>
          <w:bCs/>
          <w:sz w:val="16"/>
          <w:szCs w:val="16"/>
        </w:rPr>
        <w:t>adopted</w:t>
      </w:r>
      <w:proofErr w:type="gramEnd"/>
    </w:p>
    <w:p w14:paraId="517CF5C2" w14:textId="77777777" w:rsidR="00A7016F" w:rsidRPr="00A153FB" w:rsidRDefault="00A7016F" w:rsidP="001E0283">
      <w:pPr>
        <w:autoSpaceDE w:val="0"/>
        <w:autoSpaceDN w:val="0"/>
        <w:adjustRightInd w:val="0"/>
        <w:ind w:left="851"/>
        <w:jc w:val="both"/>
        <w:rPr>
          <w:rFonts w:ascii="Arial" w:hAnsi="Arial" w:cs="Arial"/>
          <w:sz w:val="16"/>
          <w:szCs w:val="16"/>
        </w:rPr>
      </w:pPr>
    </w:p>
    <w:p w14:paraId="355C4309" w14:textId="77777777" w:rsidR="00A81675" w:rsidRPr="006A7B76" w:rsidRDefault="00A81675" w:rsidP="001E0283">
      <w:pPr>
        <w:pStyle w:val="Heading5"/>
        <w:spacing w:before="1"/>
        <w:ind w:left="851"/>
        <w:rPr>
          <w:rFonts w:ascii="Arial" w:hAnsi="Arial" w:cs="Arial"/>
        </w:rPr>
      </w:pPr>
      <w:r w:rsidRPr="000F0286">
        <w:rPr>
          <w:rFonts w:ascii="Arial" w:eastAsiaTheme="minorHAnsi" w:hAnsi="Arial" w:cs="Arial"/>
          <w:lang w:val="en-US"/>
        </w:rPr>
        <w:t>Classification of Liabilities as Current or Non-Current (Amendments to IAS 1)</w:t>
      </w:r>
    </w:p>
    <w:p w14:paraId="41ECF1F6" w14:textId="77777777" w:rsidR="00A7016F" w:rsidRPr="00A153FB" w:rsidRDefault="00A7016F" w:rsidP="001E0283">
      <w:pPr>
        <w:autoSpaceDE w:val="0"/>
        <w:autoSpaceDN w:val="0"/>
        <w:adjustRightInd w:val="0"/>
        <w:ind w:left="851"/>
        <w:jc w:val="both"/>
        <w:rPr>
          <w:rFonts w:ascii="Arial" w:hAnsi="Arial" w:cs="Arial"/>
          <w:sz w:val="16"/>
          <w:szCs w:val="16"/>
        </w:rPr>
      </w:pPr>
    </w:p>
    <w:p w14:paraId="068B95B3" w14:textId="557AF52E" w:rsidR="00A81675" w:rsidRDefault="00A81675" w:rsidP="001E0283">
      <w:pPr>
        <w:pStyle w:val="BodyText"/>
        <w:ind w:left="851" w:right="777"/>
        <w:jc w:val="both"/>
        <w:rPr>
          <w:rFonts w:ascii="Arial" w:eastAsiaTheme="minorHAnsi" w:hAnsi="Arial" w:cs="Arial"/>
          <w:lang w:val="en-US"/>
        </w:rPr>
      </w:pPr>
      <w:r w:rsidRPr="000F0286">
        <w:rPr>
          <w:rFonts w:ascii="Arial" w:eastAsiaTheme="minorHAnsi" w:hAnsi="Arial" w:cs="Arial"/>
          <w:lang w:val="en-US"/>
        </w:rPr>
        <w:t xml:space="preserve">The IASB has published </w:t>
      </w:r>
      <w:r w:rsidRPr="000F0286">
        <w:rPr>
          <w:rFonts w:ascii="Arial" w:eastAsiaTheme="minorHAnsi" w:hAnsi="Arial" w:cs="Arial"/>
          <w:i/>
          <w:iCs/>
          <w:lang w:val="en-US"/>
        </w:rPr>
        <w:t xml:space="preserve">Classification of Liabilities as Current or Non-Current (Amendments to IAS 1) </w:t>
      </w:r>
      <w:r w:rsidRPr="000F0286">
        <w:rPr>
          <w:rFonts w:ascii="Arial" w:eastAsiaTheme="minorHAnsi" w:hAnsi="Arial" w:cs="Arial"/>
          <w:lang w:val="en-US"/>
        </w:rPr>
        <w:t>which clarifies</w:t>
      </w:r>
      <w:r w:rsidR="00AA20F7">
        <w:rPr>
          <w:rFonts w:ascii="Arial" w:eastAsiaTheme="minorHAnsi" w:hAnsi="Arial" w:cs="Arial"/>
          <w:lang w:val="en-US"/>
        </w:rPr>
        <w:t xml:space="preserve"> </w:t>
      </w:r>
      <w:r w:rsidRPr="000F0286">
        <w:rPr>
          <w:rFonts w:ascii="Arial" w:eastAsiaTheme="minorHAnsi" w:hAnsi="Arial" w:cs="Arial"/>
          <w:lang w:val="en-US"/>
        </w:rPr>
        <w:t>the guidance on whether a liability should be classified as either current or non-current. The amendments:</w:t>
      </w:r>
    </w:p>
    <w:p w14:paraId="33FA9D50" w14:textId="77777777" w:rsidR="00A81675" w:rsidRPr="009516A2" w:rsidRDefault="00A81675" w:rsidP="001E0283">
      <w:pPr>
        <w:pStyle w:val="BodyText"/>
        <w:ind w:left="851" w:right="777"/>
        <w:jc w:val="both"/>
        <w:rPr>
          <w:rFonts w:ascii="Arial" w:hAnsi="Arial" w:cs="Arial"/>
        </w:rPr>
      </w:pPr>
    </w:p>
    <w:p w14:paraId="3071E320" w14:textId="77777777" w:rsidR="00A81675" w:rsidRPr="0094700C" w:rsidRDefault="00A81675" w:rsidP="00A81675">
      <w:pPr>
        <w:pStyle w:val="ListParagraph"/>
        <w:numPr>
          <w:ilvl w:val="1"/>
          <w:numId w:val="6"/>
        </w:numPr>
        <w:tabs>
          <w:tab w:val="left" w:pos="2239"/>
          <w:tab w:val="left" w:pos="2240"/>
        </w:tabs>
        <w:ind w:left="1588" w:right="777" w:hanging="397"/>
        <w:jc w:val="both"/>
        <w:rPr>
          <w:rFonts w:ascii="Arial" w:hAnsi="Arial" w:cs="Arial"/>
          <w:sz w:val="16"/>
        </w:rPr>
      </w:pPr>
      <w:r w:rsidRPr="000F0286">
        <w:rPr>
          <w:rFonts w:ascii="Arial" w:eastAsiaTheme="minorHAnsi" w:hAnsi="Arial" w:cs="Arial"/>
          <w:sz w:val="16"/>
          <w:szCs w:val="16"/>
          <w:lang w:val="en-US"/>
        </w:rPr>
        <w:t>clarify that the classification of liabilities as current or non-current should only be based on rights that are in place</w:t>
      </w:r>
      <w:r>
        <w:rPr>
          <w:rFonts w:ascii="Arial" w:eastAsiaTheme="minorHAnsi" w:hAnsi="Arial" w:cs="Arial"/>
          <w:sz w:val="16"/>
          <w:szCs w:val="16"/>
          <w:lang w:val="en-US"/>
        </w:rPr>
        <w:t xml:space="preserve"> </w:t>
      </w:r>
      <w:r w:rsidRPr="00A305B2">
        <w:rPr>
          <w:rFonts w:ascii="Arial" w:eastAsiaTheme="minorHAnsi" w:hAnsi="Arial" w:cs="Arial"/>
          <w:sz w:val="16"/>
          <w:szCs w:val="16"/>
          <w:lang w:val="en-US"/>
        </w:rPr>
        <w:t>"at the end of the reporting period"</w:t>
      </w:r>
    </w:p>
    <w:p w14:paraId="1C230D08" w14:textId="77777777" w:rsidR="00A81675" w:rsidRPr="008A4780" w:rsidRDefault="00A81675" w:rsidP="00A81675">
      <w:pPr>
        <w:pStyle w:val="ListParagraph"/>
        <w:tabs>
          <w:tab w:val="left" w:pos="2239"/>
          <w:tab w:val="left" w:pos="2240"/>
        </w:tabs>
        <w:ind w:left="1588" w:right="777" w:firstLine="0"/>
        <w:jc w:val="both"/>
        <w:rPr>
          <w:rFonts w:ascii="Arial" w:hAnsi="Arial" w:cs="Arial"/>
          <w:sz w:val="16"/>
        </w:rPr>
      </w:pPr>
    </w:p>
    <w:p w14:paraId="07B7AD8C" w14:textId="77777777" w:rsidR="00A81675" w:rsidRPr="0094700C" w:rsidRDefault="00A81675" w:rsidP="00A81675">
      <w:pPr>
        <w:pStyle w:val="ListParagraph"/>
        <w:numPr>
          <w:ilvl w:val="1"/>
          <w:numId w:val="6"/>
        </w:numPr>
        <w:tabs>
          <w:tab w:val="left" w:pos="2239"/>
          <w:tab w:val="left" w:pos="2240"/>
        </w:tabs>
        <w:ind w:left="1588" w:right="777" w:hanging="397"/>
        <w:jc w:val="both"/>
        <w:rPr>
          <w:rFonts w:ascii="Arial" w:hAnsi="Arial" w:cs="Arial"/>
          <w:sz w:val="16"/>
        </w:rPr>
      </w:pPr>
      <w:r w:rsidRPr="0094700C">
        <w:rPr>
          <w:rFonts w:ascii="Arial" w:eastAsiaTheme="minorHAnsi" w:hAnsi="Arial" w:cs="Arial"/>
          <w:sz w:val="16"/>
          <w:szCs w:val="16"/>
          <w:lang w:val="en-US"/>
        </w:rPr>
        <w:t>clarify that classification is unaffected by expectations about whether an entity will exercise its right to defer settlement of a liability</w:t>
      </w:r>
    </w:p>
    <w:p w14:paraId="75C99599" w14:textId="77777777" w:rsidR="00A7016F" w:rsidRPr="00A153FB" w:rsidRDefault="00A7016F" w:rsidP="00A7016F">
      <w:pPr>
        <w:autoSpaceDE w:val="0"/>
        <w:autoSpaceDN w:val="0"/>
        <w:adjustRightInd w:val="0"/>
        <w:ind w:left="851"/>
        <w:jc w:val="both"/>
        <w:rPr>
          <w:rFonts w:ascii="Arial" w:hAnsi="Arial" w:cs="Arial"/>
          <w:sz w:val="16"/>
          <w:szCs w:val="16"/>
        </w:rPr>
      </w:pPr>
    </w:p>
    <w:p w14:paraId="33C63828" w14:textId="77777777" w:rsidR="00A81675" w:rsidRPr="0094700C" w:rsidRDefault="00A81675" w:rsidP="00A7016F">
      <w:pPr>
        <w:pStyle w:val="ListParagraph"/>
        <w:numPr>
          <w:ilvl w:val="1"/>
          <w:numId w:val="6"/>
        </w:numPr>
        <w:tabs>
          <w:tab w:val="left" w:pos="2239"/>
          <w:tab w:val="left" w:pos="2240"/>
        </w:tabs>
        <w:ind w:left="1588" w:right="777" w:hanging="397"/>
        <w:jc w:val="both"/>
        <w:rPr>
          <w:rFonts w:ascii="Arial" w:hAnsi="Arial" w:cs="Arial"/>
          <w:sz w:val="16"/>
        </w:rPr>
      </w:pPr>
      <w:r w:rsidRPr="0094700C">
        <w:rPr>
          <w:rFonts w:ascii="Arial" w:eastAsiaTheme="minorHAnsi" w:hAnsi="Arial" w:cs="Arial"/>
          <w:sz w:val="16"/>
          <w:szCs w:val="16"/>
          <w:lang w:val="en-US"/>
        </w:rPr>
        <w:t>make clear that settlement includes transfers to the counterparty of cash, equity instruments, other assets or services that result in extinguishment of the liability.</w:t>
      </w:r>
    </w:p>
    <w:p w14:paraId="2F9780D4" w14:textId="77777777" w:rsidR="00A7016F" w:rsidRDefault="00A7016F" w:rsidP="00A7016F">
      <w:pPr>
        <w:autoSpaceDE w:val="0"/>
        <w:autoSpaceDN w:val="0"/>
        <w:adjustRightInd w:val="0"/>
        <w:ind w:left="851"/>
        <w:jc w:val="both"/>
        <w:rPr>
          <w:rFonts w:ascii="Arial" w:hAnsi="Arial" w:cs="Arial"/>
          <w:sz w:val="16"/>
          <w:szCs w:val="16"/>
        </w:rPr>
      </w:pPr>
    </w:p>
    <w:p w14:paraId="7C55B475" w14:textId="77777777" w:rsidR="00033D76" w:rsidRPr="00A153FB" w:rsidRDefault="00033D76" w:rsidP="00A7016F">
      <w:pPr>
        <w:autoSpaceDE w:val="0"/>
        <w:autoSpaceDN w:val="0"/>
        <w:adjustRightInd w:val="0"/>
        <w:ind w:left="851"/>
        <w:jc w:val="both"/>
        <w:rPr>
          <w:rFonts w:ascii="Arial" w:hAnsi="Arial" w:cs="Arial"/>
          <w:sz w:val="16"/>
          <w:szCs w:val="16"/>
        </w:rPr>
      </w:pPr>
    </w:p>
    <w:p w14:paraId="005CDC73" w14:textId="77777777" w:rsidR="00A81675" w:rsidRPr="008A4780" w:rsidRDefault="00A81675" w:rsidP="00A7016F">
      <w:pPr>
        <w:pStyle w:val="ListParagraph"/>
        <w:numPr>
          <w:ilvl w:val="1"/>
          <w:numId w:val="6"/>
        </w:numPr>
        <w:tabs>
          <w:tab w:val="left" w:pos="2239"/>
          <w:tab w:val="left" w:pos="2240"/>
        </w:tabs>
        <w:ind w:left="1588" w:right="777" w:hanging="397"/>
        <w:jc w:val="both"/>
        <w:rPr>
          <w:rFonts w:ascii="Arial" w:hAnsi="Arial" w:cs="Arial"/>
          <w:sz w:val="16"/>
        </w:rPr>
      </w:pPr>
      <w:r w:rsidRPr="0094700C">
        <w:rPr>
          <w:rFonts w:ascii="Arial" w:eastAsiaTheme="minorHAnsi" w:hAnsi="Arial" w:cs="Arial"/>
          <w:sz w:val="16"/>
          <w:szCs w:val="16"/>
          <w:lang w:val="en-US"/>
        </w:rPr>
        <w:t>This amendment is effective for annual periods beginning on or after January 1, 2024. Earlier application is permitted. The extent of the impact of adoption of this amendment has not yet been determined.</w:t>
      </w:r>
    </w:p>
    <w:p w14:paraId="4D5F565D" w14:textId="77777777" w:rsidR="00A7016F" w:rsidRPr="00A153FB" w:rsidRDefault="00A7016F" w:rsidP="00A7016F">
      <w:pPr>
        <w:autoSpaceDE w:val="0"/>
        <w:autoSpaceDN w:val="0"/>
        <w:adjustRightInd w:val="0"/>
        <w:ind w:left="851"/>
        <w:jc w:val="both"/>
        <w:rPr>
          <w:rFonts w:ascii="Arial" w:hAnsi="Arial" w:cs="Arial"/>
          <w:sz w:val="16"/>
          <w:szCs w:val="16"/>
        </w:rPr>
      </w:pPr>
    </w:p>
    <w:p w14:paraId="33C5175D" w14:textId="6E1CFA9F" w:rsidR="00033D76" w:rsidRPr="00A153FB" w:rsidRDefault="00033D76" w:rsidP="00033D76">
      <w:pPr>
        <w:pStyle w:val="Heading3"/>
        <w:numPr>
          <w:ilvl w:val="0"/>
          <w:numId w:val="6"/>
        </w:numPr>
        <w:tabs>
          <w:tab w:val="left" w:pos="1002"/>
        </w:tabs>
        <w:ind w:left="851" w:firstLine="0"/>
        <w:rPr>
          <w:rFonts w:ascii="Arial" w:hAnsi="Arial" w:cs="Arial"/>
          <w:sz w:val="16"/>
          <w:szCs w:val="16"/>
        </w:rPr>
      </w:pPr>
      <w:r>
        <w:rPr>
          <w:rFonts w:ascii="Arial" w:hAnsi="Arial" w:cs="Arial"/>
          <w:sz w:val="16"/>
          <w:szCs w:val="16"/>
        </w:rPr>
        <w:t xml:space="preserve">  </w:t>
      </w:r>
      <w:r w:rsidR="00203360" w:rsidRPr="00033D76">
        <w:rPr>
          <w:rFonts w:ascii="Arial" w:hAnsi="Arial" w:cs="Arial"/>
          <w:sz w:val="16"/>
          <w:szCs w:val="16"/>
        </w:rPr>
        <w:t>SEGMENTED INFORMATION</w:t>
      </w:r>
    </w:p>
    <w:p w14:paraId="623604B4" w14:textId="2B1E120B" w:rsidR="00A7016F" w:rsidRPr="00033D76" w:rsidRDefault="00A7016F" w:rsidP="00033D76">
      <w:pPr>
        <w:pStyle w:val="ListParagraph"/>
        <w:tabs>
          <w:tab w:val="left" w:pos="1002"/>
        </w:tabs>
        <w:autoSpaceDE w:val="0"/>
        <w:autoSpaceDN w:val="0"/>
        <w:adjustRightInd w:val="0"/>
        <w:ind w:left="851" w:firstLine="0"/>
        <w:jc w:val="both"/>
        <w:rPr>
          <w:rFonts w:ascii="Arial" w:hAnsi="Arial" w:cs="Arial"/>
          <w:sz w:val="16"/>
          <w:szCs w:val="16"/>
        </w:rPr>
      </w:pPr>
    </w:p>
    <w:p w14:paraId="2F1A99DF" w14:textId="77777777" w:rsidR="00033D76" w:rsidRPr="009516A2" w:rsidRDefault="00203360" w:rsidP="00033D76">
      <w:pPr>
        <w:pStyle w:val="BodyText"/>
        <w:ind w:left="851" w:right="777"/>
        <w:jc w:val="both"/>
        <w:rPr>
          <w:rFonts w:ascii="Arial" w:hAnsi="Arial" w:cs="Arial"/>
        </w:rPr>
      </w:pPr>
      <w:r w:rsidRPr="001D067F">
        <w:rPr>
          <w:rFonts w:ascii="Arial" w:eastAsiaTheme="minorHAnsi" w:hAnsi="Arial" w:cs="Arial"/>
          <w:bCs/>
        </w:rPr>
        <w:t xml:space="preserve">The Corporation’s significant segments are represented by its separately identifiable exploration and evaluation properties (see note </w:t>
      </w:r>
      <w:r w:rsidR="001D3311" w:rsidRPr="001D067F">
        <w:rPr>
          <w:rFonts w:ascii="Arial" w:eastAsiaTheme="minorHAnsi" w:hAnsi="Arial" w:cs="Arial"/>
          <w:bCs/>
        </w:rPr>
        <w:t>7</w:t>
      </w:r>
      <w:r w:rsidRPr="001D067F">
        <w:rPr>
          <w:rFonts w:ascii="Arial" w:eastAsiaTheme="minorHAnsi" w:hAnsi="Arial" w:cs="Arial"/>
          <w:bCs/>
        </w:rPr>
        <w:t xml:space="preserve"> for disclosure by property).  The Corporation also operates in two distinct geographic areas. The Canadian operations are managed from the Corporation’s head office in </w:t>
      </w:r>
      <w:r w:rsidR="00D8506A">
        <w:rPr>
          <w:rFonts w:ascii="Arial" w:eastAsiaTheme="minorHAnsi" w:hAnsi="Arial" w:cs="Arial"/>
          <w:bCs/>
        </w:rPr>
        <w:t xml:space="preserve">Thunder Bay </w:t>
      </w:r>
      <w:r w:rsidR="009C7F52">
        <w:rPr>
          <w:rFonts w:ascii="Arial" w:eastAsiaTheme="minorHAnsi" w:hAnsi="Arial" w:cs="Arial"/>
          <w:bCs/>
        </w:rPr>
        <w:t xml:space="preserve">and an </w:t>
      </w:r>
      <w:r w:rsidR="00D8506A">
        <w:rPr>
          <w:rFonts w:ascii="Arial" w:eastAsiaTheme="minorHAnsi" w:hAnsi="Arial" w:cs="Arial"/>
          <w:bCs/>
        </w:rPr>
        <w:t>office</w:t>
      </w:r>
      <w:r w:rsidR="009C7F52">
        <w:rPr>
          <w:rFonts w:ascii="Arial" w:eastAsiaTheme="minorHAnsi" w:hAnsi="Arial" w:cs="Arial"/>
          <w:bCs/>
        </w:rPr>
        <w:t xml:space="preserve"> in Ottawa</w:t>
      </w:r>
      <w:r w:rsidRPr="001D067F">
        <w:rPr>
          <w:rFonts w:ascii="Arial" w:eastAsiaTheme="minorHAnsi" w:hAnsi="Arial" w:cs="Arial"/>
          <w:bCs/>
        </w:rPr>
        <w:t>. The U.S. operations are managed from an office in Maine</w:t>
      </w:r>
      <w:r w:rsidR="008057CB" w:rsidRPr="001D067F">
        <w:rPr>
          <w:rFonts w:ascii="Arial" w:eastAsiaTheme="minorHAnsi" w:hAnsi="Arial" w:cs="Arial"/>
          <w:bCs/>
        </w:rPr>
        <w:t>.</w:t>
      </w:r>
    </w:p>
    <w:p w14:paraId="097D7F4F" w14:textId="2A8DDD00" w:rsidR="00BB67AD" w:rsidRDefault="00BB67AD" w:rsidP="00033D76">
      <w:pPr>
        <w:pStyle w:val="ListParagraph"/>
        <w:tabs>
          <w:tab w:val="left" w:pos="1002"/>
        </w:tabs>
        <w:autoSpaceDE w:val="0"/>
        <w:autoSpaceDN w:val="0"/>
        <w:adjustRightInd w:val="0"/>
        <w:ind w:left="851" w:firstLine="0"/>
        <w:jc w:val="both"/>
      </w:pPr>
    </w:p>
    <w:tbl>
      <w:tblPr>
        <w:tblW w:w="8829" w:type="dxa"/>
        <w:tblInd w:w="810" w:type="dxa"/>
        <w:tblLook w:val="04A0" w:firstRow="1" w:lastRow="0" w:firstColumn="1" w:lastColumn="0" w:noHBand="0" w:noVBand="1"/>
      </w:tblPr>
      <w:tblGrid>
        <w:gridCol w:w="4010"/>
        <w:gridCol w:w="1701"/>
        <w:gridCol w:w="1559"/>
        <w:gridCol w:w="1559"/>
      </w:tblGrid>
      <w:tr w:rsidR="00996036" w:rsidRPr="00996036" w14:paraId="5CAB63CE" w14:textId="77777777" w:rsidTr="00C24B7A">
        <w:trPr>
          <w:trHeight w:val="340"/>
        </w:trPr>
        <w:tc>
          <w:tcPr>
            <w:tcW w:w="8829" w:type="dxa"/>
            <w:gridSpan w:val="4"/>
            <w:tcBorders>
              <w:top w:val="nil"/>
              <w:left w:val="nil"/>
              <w:bottom w:val="nil"/>
              <w:right w:val="nil"/>
            </w:tcBorders>
            <w:shd w:val="clear" w:color="auto" w:fill="auto"/>
            <w:hideMark/>
          </w:tcPr>
          <w:p w14:paraId="04E4E82B" w14:textId="2375CE4F" w:rsidR="00996036" w:rsidRPr="00395861" w:rsidRDefault="00996036" w:rsidP="00996036">
            <w:pPr>
              <w:jc w:val="center"/>
              <w:rPr>
                <w:rFonts w:ascii="Arial" w:hAnsi="Arial" w:cs="Arial"/>
                <w:b/>
                <w:bCs/>
                <w:sz w:val="16"/>
                <w:szCs w:val="16"/>
                <w:u w:val="single"/>
                <w:lang w:val="en-US"/>
              </w:rPr>
            </w:pPr>
            <w:r w:rsidRPr="00395861">
              <w:rPr>
                <w:rFonts w:ascii="Arial" w:hAnsi="Arial" w:cs="Arial"/>
                <w:b/>
                <w:bCs/>
                <w:sz w:val="16"/>
                <w:szCs w:val="16"/>
                <w:u w:val="single"/>
                <w:lang w:val="en-US"/>
              </w:rPr>
              <w:t>For the year ended December 31, 202</w:t>
            </w:r>
            <w:r w:rsidR="004C5788" w:rsidRPr="00395861">
              <w:rPr>
                <w:rFonts w:ascii="Arial" w:hAnsi="Arial" w:cs="Arial"/>
                <w:b/>
                <w:bCs/>
                <w:sz w:val="16"/>
                <w:szCs w:val="16"/>
                <w:u w:val="single"/>
                <w:lang w:val="en-US"/>
              </w:rPr>
              <w:t>3</w:t>
            </w:r>
          </w:p>
        </w:tc>
      </w:tr>
      <w:tr w:rsidR="00EC657D" w:rsidRPr="00996036" w14:paraId="7AA3E8BF" w14:textId="77777777" w:rsidTr="00C24B7A">
        <w:trPr>
          <w:trHeight w:val="170"/>
        </w:trPr>
        <w:tc>
          <w:tcPr>
            <w:tcW w:w="4010" w:type="dxa"/>
            <w:tcBorders>
              <w:top w:val="nil"/>
              <w:left w:val="nil"/>
              <w:bottom w:val="nil"/>
              <w:right w:val="nil"/>
            </w:tcBorders>
            <w:shd w:val="clear" w:color="auto" w:fill="auto"/>
            <w:noWrap/>
            <w:hideMark/>
          </w:tcPr>
          <w:p w14:paraId="3620B9CB" w14:textId="77777777" w:rsidR="00996036" w:rsidRPr="000B29C4" w:rsidRDefault="00996036" w:rsidP="00996036">
            <w:pPr>
              <w:jc w:val="center"/>
              <w:rPr>
                <w:rFonts w:ascii="Arial" w:hAnsi="Arial" w:cs="Arial"/>
                <w:b/>
                <w:bCs/>
                <w:sz w:val="16"/>
                <w:szCs w:val="16"/>
                <w:highlight w:val="yellow"/>
                <w:u w:val="single"/>
                <w:lang w:val="en-US"/>
              </w:rPr>
            </w:pPr>
          </w:p>
        </w:tc>
        <w:tc>
          <w:tcPr>
            <w:tcW w:w="1701" w:type="dxa"/>
            <w:tcBorders>
              <w:top w:val="nil"/>
              <w:left w:val="nil"/>
              <w:bottom w:val="nil"/>
              <w:right w:val="nil"/>
            </w:tcBorders>
            <w:shd w:val="clear" w:color="auto" w:fill="auto"/>
            <w:noWrap/>
            <w:hideMark/>
          </w:tcPr>
          <w:p w14:paraId="20846010" w14:textId="77777777" w:rsidR="00996036" w:rsidRPr="000B29C4" w:rsidRDefault="00996036" w:rsidP="00996036">
            <w:pPr>
              <w:rPr>
                <w:sz w:val="20"/>
                <w:szCs w:val="20"/>
                <w:highlight w:val="yellow"/>
                <w:lang w:val="en-US"/>
              </w:rPr>
            </w:pPr>
          </w:p>
        </w:tc>
        <w:tc>
          <w:tcPr>
            <w:tcW w:w="1559" w:type="dxa"/>
            <w:tcBorders>
              <w:top w:val="nil"/>
              <w:left w:val="nil"/>
              <w:bottom w:val="nil"/>
              <w:right w:val="nil"/>
            </w:tcBorders>
            <w:shd w:val="clear" w:color="auto" w:fill="auto"/>
            <w:noWrap/>
            <w:hideMark/>
          </w:tcPr>
          <w:p w14:paraId="11660BF3" w14:textId="77777777" w:rsidR="00996036" w:rsidRPr="00C52166" w:rsidRDefault="00996036" w:rsidP="00996036">
            <w:pPr>
              <w:rPr>
                <w:sz w:val="20"/>
                <w:szCs w:val="20"/>
                <w:lang w:val="en-US"/>
              </w:rPr>
            </w:pPr>
          </w:p>
        </w:tc>
        <w:tc>
          <w:tcPr>
            <w:tcW w:w="1559" w:type="dxa"/>
            <w:tcBorders>
              <w:top w:val="nil"/>
              <w:left w:val="nil"/>
              <w:bottom w:val="nil"/>
              <w:right w:val="nil"/>
            </w:tcBorders>
            <w:shd w:val="clear" w:color="auto" w:fill="auto"/>
            <w:noWrap/>
            <w:hideMark/>
          </w:tcPr>
          <w:p w14:paraId="12E51D5B" w14:textId="77777777" w:rsidR="00996036" w:rsidRPr="00C52166" w:rsidRDefault="00996036" w:rsidP="00996036">
            <w:pPr>
              <w:rPr>
                <w:sz w:val="20"/>
                <w:szCs w:val="20"/>
                <w:lang w:val="en-US"/>
              </w:rPr>
            </w:pPr>
          </w:p>
        </w:tc>
      </w:tr>
      <w:tr w:rsidR="00EC657D" w:rsidRPr="00996036" w14:paraId="320D626D" w14:textId="77777777" w:rsidTr="00C24B7A">
        <w:trPr>
          <w:trHeight w:val="340"/>
        </w:trPr>
        <w:tc>
          <w:tcPr>
            <w:tcW w:w="4010" w:type="dxa"/>
            <w:tcBorders>
              <w:top w:val="single" w:sz="4" w:space="0" w:color="000000"/>
              <w:left w:val="single" w:sz="4" w:space="0" w:color="000000"/>
              <w:bottom w:val="single" w:sz="4" w:space="0" w:color="000000"/>
              <w:right w:val="single" w:sz="4" w:space="0" w:color="000000"/>
            </w:tcBorders>
            <w:shd w:val="clear" w:color="auto" w:fill="auto"/>
            <w:hideMark/>
          </w:tcPr>
          <w:p w14:paraId="7D24EC88" w14:textId="77777777" w:rsidR="00996036" w:rsidRPr="00C52166" w:rsidRDefault="00996036" w:rsidP="00996036">
            <w:pPr>
              <w:rPr>
                <w:color w:val="000000"/>
                <w:sz w:val="20"/>
                <w:szCs w:val="20"/>
                <w:lang w:val="en-US"/>
              </w:rPr>
            </w:pPr>
            <w:r w:rsidRPr="00C52166">
              <w:rPr>
                <w:color w:val="000000"/>
                <w:sz w:val="20"/>
                <w:szCs w:val="20"/>
                <w:lang w:val="en-US"/>
              </w:rPr>
              <w:t> </w:t>
            </w:r>
          </w:p>
        </w:tc>
        <w:tc>
          <w:tcPr>
            <w:tcW w:w="1701" w:type="dxa"/>
            <w:tcBorders>
              <w:top w:val="single" w:sz="4" w:space="0" w:color="000000"/>
              <w:left w:val="nil"/>
              <w:bottom w:val="single" w:sz="4" w:space="0" w:color="000000"/>
              <w:right w:val="single" w:sz="4" w:space="0" w:color="000000"/>
            </w:tcBorders>
            <w:shd w:val="clear" w:color="auto" w:fill="auto"/>
            <w:hideMark/>
          </w:tcPr>
          <w:p w14:paraId="0C931512" w14:textId="77777777" w:rsidR="00996036" w:rsidRPr="00C52166" w:rsidRDefault="00996036" w:rsidP="00996036">
            <w:pPr>
              <w:jc w:val="center"/>
              <w:rPr>
                <w:color w:val="000000"/>
                <w:sz w:val="20"/>
                <w:szCs w:val="20"/>
                <w:lang w:val="en-US"/>
              </w:rPr>
            </w:pPr>
            <w:r w:rsidRPr="00C52166">
              <w:rPr>
                <w:rFonts w:ascii="Arial" w:hAnsi="Arial" w:cs="Arial"/>
                <w:b/>
                <w:bCs/>
                <w:sz w:val="16"/>
                <w:szCs w:val="16"/>
                <w:lang w:val="en-US"/>
              </w:rPr>
              <w:t>Canada</w:t>
            </w:r>
            <w:r w:rsidRPr="00C52166">
              <w:rPr>
                <w:rFonts w:ascii="Arial" w:hAnsi="Arial" w:cs="Arial"/>
                <w:b/>
                <w:bCs/>
                <w:sz w:val="16"/>
                <w:szCs w:val="16"/>
                <w:lang w:val="en-US"/>
              </w:rPr>
              <w:br/>
              <w:t>$</w:t>
            </w:r>
          </w:p>
        </w:tc>
        <w:tc>
          <w:tcPr>
            <w:tcW w:w="1559" w:type="dxa"/>
            <w:tcBorders>
              <w:top w:val="single" w:sz="4" w:space="0" w:color="000000"/>
              <w:left w:val="nil"/>
              <w:bottom w:val="single" w:sz="4" w:space="0" w:color="000000"/>
              <w:right w:val="single" w:sz="4" w:space="0" w:color="000000"/>
            </w:tcBorders>
            <w:shd w:val="clear" w:color="auto" w:fill="auto"/>
            <w:hideMark/>
          </w:tcPr>
          <w:p w14:paraId="019C0A2A" w14:textId="77777777" w:rsidR="00996036" w:rsidRPr="00C52166" w:rsidRDefault="00996036" w:rsidP="00996036">
            <w:pPr>
              <w:jc w:val="center"/>
              <w:rPr>
                <w:color w:val="000000"/>
                <w:sz w:val="20"/>
                <w:szCs w:val="20"/>
                <w:lang w:val="en-US"/>
              </w:rPr>
            </w:pPr>
            <w:r w:rsidRPr="00C52166">
              <w:rPr>
                <w:rFonts w:ascii="Arial" w:hAnsi="Arial" w:cs="Arial"/>
                <w:b/>
                <w:bCs/>
                <w:sz w:val="16"/>
                <w:szCs w:val="16"/>
                <w:lang w:val="en-US"/>
              </w:rPr>
              <w:t>USA</w:t>
            </w:r>
            <w:r w:rsidRPr="00C52166">
              <w:rPr>
                <w:rFonts w:ascii="Arial" w:hAnsi="Arial" w:cs="Arial"/>
                <w:b/>
                <w:bCs/>
                <w:sz w:val="16"/>
                <w:szCs w:val="16"/>
                <w:lang w:val="en-US"/>
              </w:rPr>
              <w:br/>
              <w:t>$</w:t>
            </w:r>
          </w:p>
        </w:tc>
        <w:tc>
          <w:tcPr>
            <w:tcW w:w="1559" w:type="dxa"/>
            <w:tcBorders>
              <w:top w:val="single" w:sz="4" w:space="0" w:color="000000"/>
              <w:left w:val="nil"/>
              <w:bottom w:val="single" w:sz="4" w:space="0" w:color="000000"/>
              <w:right w:val="single" w:sz="4" w:space="0" w:color="000000"/>
            </w:tcBorders>
            <w:shd w:val="clear" w:color="auto" w:fill="auto"/>
            <w:hideMark/>
          </w:tcPr>
          <w:p w14:paraId="5A3EB0B1" w14:textId="77777777" w:rsidR="00996036" w:rsidRPr="00C52166" w:rsidRDefault="00996036" w:rsidP="00996036">
            <w:pPr>
              <w:jc w:val="center"/>
              <w:rPr>
                <w:color w:val="000000"/>
                <w:sz w:val="20"/>
                <w:szCs w:val="20"/>
                <w:lang w:val="en-US"/>
              </w:rPr>
            </w:pPr>
            <w:r w:rsidRPr="00C52166">
              <w:rPr>
                <w:rFonts w:ascii="Arial" w:hAnsi="Arial" w:cs="Arial"/>
                <w:b/>
                <w:bCs/>
                <w:sz w:val="16"/>
                <w:szCs w:val="16"/>
                <w:lang w:val="en-US"/>
              </w:rPr>
              <w:t>Total</w:t>
            </w:r>
            <w:r w:rsidRPr="00C52166">
              <w:rPr>
                <w:rFonts w:ascii="Arial" w:hAnsi="Arial" w:cs="Arial"/>
                <w:b/>
                <w:bCs/>
                <w:sz w:val="16"/>
                <w:szCs w:val="16"/>
                <w:lang w:val="en-US"/>
              </w:rPr>
              <w:br/>
              <w:t>$</w:t>
            </w:r>
          </w:p>
        </w:tc>
      </w:tr>
      <w:tr w:rsidR="009856BF" w:rsidRPr="00996036" w14:paraId="0E9A12F7" w14:textId="77777777" w:rsidTr="00EC657D">
        <w:trPr>
          <w:trHeight w:val="252"/>
        </w:trPr>
        <w:tc>
          <w:tcPr>
            <w:tcW w:w="4010" w:type="dxa"/>
            <w:tcBorders>
              <w:top w:val="nil"/>
              <w:left w:val="single" w:sz="4" w:space="0" w:color="000000"/>
              <w:bottom w:val="single" w:sz="4" w:space="0" w:color="000000"/>
              <w:right w:val="single" w:sz="4" w:space="0" w:color="000000"/>
            </w:tcBorders>
            <w:shd w:val="clear" w:color="auto" w:fill="auto"/>
            <w:hideMark/>
          </w:tcPr>
          <w:p w14:paraId="4685B2A9" w14:textId="77777777" w:rsidR="009856BF" w:rsidRPr="00C52166" w:rsidRDefault="009856BF" w:rsidP="009856BF">
            <w:pPr>
              <w:rPr>
                <w:rFonts w:ascii="Arial" w:hAnsi="Arial" w:cs="Arial"/>
                <w:b/>
                <w:bCs/>
                <w:sz w:val="16"/>
                <w:szCs w:val="16"/>
                <w:lang w:val="en-US"/>
              </w:rPr>
            </w:pPr>
            <w:r w:rsidRPr="00C52166">
              <w:rPr>
                <w:rFonts w:ascii="Arial" w:hAnsi="Arial" w:cs="Arial"/>
                <w:b/>
                <w:bCs/>
                <w:sz w:val="16"/>
                <w:szCs w:val="16"/>
                <w:lang w:val="en-US"/>
              </w:rPr>
              <w:t>Segmented Assets</w:t>
            </w:r>
          </w:p>
        </w:tc>
        <w:tc>
          <w:tcPr>
            <w:tcW w:w="1701" w:type="dxa"/>
            <w:tcBorders>
              <w:top w:val="nil"/>
              <w:left w:val="nil"/>
              <w:bottom w:val="single" w:sz="4" w:space="0" w:color="000000"/>
              <w:right w:val="single" w:sz="4" w:space="0" w:color="000000"/>
            </w:tcBorders>
            <w:shd w:val="clear" w:color="auto" w:fill="auto"/>
            <w:noWrap/>
            <w:hideMark/>
          </w:tcPr>
          <w:p w14:paraId="1223C6AD" w14:textId="097DC28C" w:rsidR="009856BF" w:rsidRPr="00C52166" w:rsidRDefault="009856BF" w:rsidP="009856BF">
            <w:pPr>
              <w:jc w:val="right"/>
              <w:rPr>
                <w:rFonts w:ascii="Arial" w:hAnsi="Arial" w:cs="Arial"/>
                <w:color w:val="000000"/>
                <w:sz w:val="16"/>
                <w:szCs w:val="16"/>
                <w:lang w:val="en-US"/>
              </w:rPr>
            </w:pPr>
            <w:r w:rsidRPr="00C52166">
              <w:rPr>
                <w:rFonts w:ascii="Arial" w:hAnsi="Arial" w:cs="Arial"/>
                <w:sz w:val="16"/>
                <w:szCs w:val="16"/>
              </w:rPr>
              <w:t xml:space="preserve"> </w:t>
            </w:r>
            <w:r w:rsidR="00242926" w:rsidRPr="00C52166">
              <w:rPr>
                <w:rFonts w:ascii="Arial" w:hAnsi="Arial" w:cs="Arial"/>
                <w:sz w:val="16"/>
                <w:szCs w:val="16"/>
              </w:rPr>
              <w:t xml:space="preserve"> </w:t>
            </w:r>
            <w:r w:rsidR="004C5788" w:rsidRPr="00C52166">
              <w:rPr>
                <w:rFonts w:ascii="Arial" w:hAnsi="Arial" w:cs="Arial"/>
                <w:sz w:val="16"/>
                <w:szCs w:val="16"/>
              </w:rPr>
              <w:t>1</w:t>
            </w:r>
            <w:r w:rsidR="00242926" w:rsidRPr="00C52166">
              <w:rPr>
                <w:rFonts w:ascii="Arial" w:hAnsi="Arial" w:cs="Arial"/>
                <w:sz w:val="16"/>
                <w:szCs w:val="16"/>
              </w:rPr>
              <w:t>,</w:t>
            </w:r>
            <w:r w:rsidR="004C5788" w:rsidRPr="00C52166">
              <w:rPr>
                <w:rFonts w:ascii="Arial" w:hAnsi="Arial" w:cs="Arial"/>
                <w:sz w:val="16"/>
                <w:szCs w:val="16"/>
              </w:rPr>
              <w:t>093</w:t>
            </w:r>
            <w:r w:rsidR="00242926" w:rsidRPr="00C52166">
              <w:rPr>
                <w:rFonts w:ascii="Arial" w:hAnsi="Arial" w:cs="Arial"/>
                <w:sz w:val="16"/>
                <w:szCs w:val="16"/>
              </w:rPr>
              <w:t>,</w:t>
            </w:r>
            <w:r w:rsidR="004C5788" w:rsidRPr="00C52166">
              <w:rPr>
                <w:rFonts w:ascii="Arial" w:hAnsi="Arial" w:cs="Arial"/>
                <w:sz w:val="16"/>
                <w:szCs w:val="16"/>
              </w:rPr>
              <w:t>108</w:t>
            </w:r>
          </w:p>
        </w:tc>
        <w:tc>
          <w:tcPr>
            <w:tcW w:w="1559" w:type="dxa"/>
            <w:tcBorders>
              <w:top w:val="nil"/>
              <w:left w:val="nil"/>
              <w:bottom w:val="single" w:sz="4" w:space="0" w:color="000000"/>
              <w:right w:val="single" w:sz="4" w:space="0" w:color="000000"/>
            </w:tcBorders>
            <w:shd w:val="clear" w:color="auto" w:fill="auto"/>
            <w:noWrap/>
            <w:hideMark/>
          </w:tcPr>
          <w:p w14:paraId="0189A70E" w14:textId="04EF37E3" w:rsidR="009856BF" w:rsidRPr="00C52166" w:rsidRDefault="009856BF" w:rsidP="009856BF">
            <w:pPr>
              <w:jc w:val="right"/>
              <w:rPr>
                <w:rFonts w:ascii="Arial" w:hAnsi="Arial" w:cs="Arial"/>
                <w:color w:val="000000"/>
                <w:sz w:val="16"/>
                <w:szCs w:val="16"/>
                <w:lang w:val="en-US"/>
              </w:rPr>
            </w:pPr>
            <w:r w:rsidRPr="00C52166">
              <w:rPr>
                <w:rFonts w:ascii="Arial" w:hAnsi="Arial" w:cs="Arial"/>
                <w:sz w:val="16"/>
                <w:szCs w:val="16"/>
              </w:rPr>
              <w:t xml:space="preserve"> </w:t>
            </w:r>
            <w:r w:rsidR="004C5788" w:rsidRPr="00C52166">
              <w:rPr>
                <w:rFonts w:ascii="Arial" w:hAnsi="Arial" w:cs="Arial"/>
                <w:sz w:val="16"/>
                <w:szCs w:val="16"/>
              </w:rPr>
              <w:t>107</w:t>
            </w:r>
            <w:r w:rsidR="009067DA" w:rsidRPr="00C52166">
              <w:rPr>
                <w:rFonts w:ascii="Arial" w:hAnsi="Arial" w:cs="Arial"/>
                <w:sz w:val="16"/>
                <w:szCs w:val="16"/>
              </w:rPr>
              <w:t>,</w:t>
            </w:r>
            <w:r w:rsidR="004C5788" w:rsidRPr="00C52166">
              <w:rPr>
                <w:rFonts w:ascii="Arial" w:hAnsi="Arial" w:cs="Arial"/>
                <w:sz w:val="16"/>
                <w:szCs w:val="16"/>
              </w:rPr>
              <w:t>940</w:t>
            </w:r>
          </w:p>
        </w:tc>
        <w:tc>
          <w:tcPr>
            <w:tcW w:w="1559" w:type="dxa"/>
            <w:tcBorders>
              <w:top w:val="nil"/>
              <w:left w:val="nil"/>
              <w:bottom w:val="single" w:sz="4" w:space="0" w:color="000000"/>
              <w:right w:val="single" w:sz="4" w:space="0" w:color="000000"/>
            </w:tcBorders>
            <w:shd w:val="clear" w:color="auto" w:fill="auto"/>
            <w:noWrap/>
            <w:hideMark/>
          </w:tcPr>
          <w:p w14:paraId="18DA6D26" w14:textId="5C0C368E" w:rsidR="009856BF" w:rsidRPr="00C52166" w:rsidRDefault="009856BF" w:rsidP="009856BF">
            <w:pPr>
              <w:jc w:val="right"/>
              <w:rPr>
                <w:rFonts w:ascii="Arial" w:hAnsi="Arial" w:cs="Arial"/>
                <w:b/>
                <w:bCs/>
                <w:color w:val="000000"/>
                <w:sz w:val="16"/>
                <w:szCs w:val="16"/>
                <w:lang w:val="en-US"/>
              </w:rPr>
            </w:pPr>
            <w:r w:rsidRPr="00C52166">
              <w:rPr>
                <w:rFonts w:ascii="Arial" w:hAnsi="Arial" w:cs="Arial"/>
                <w:b/>
                <w:sz w:val="16"/>
                <w:szCs w:val="16"/>
              </w:rPr>
              <w:t xml:space="preserve"> </w:t>
            </w:r>
            <w:r w:rsidR="009067DA" w:rsidRPr="00C52166">
              <w:rPr>
                <w:rFonts w:ascii="Arial" w:hAnsi="Arial" w:cs="Arial"/>
                <w:b/>
                <w:sz w:val="16"/>
                <w:szCs w:val="16"/>
              </w:rPr>
              <w:t xml:space="preserve"> </w:t>
            </w:r>
            <w:r w:rsidR="004C5788" w:rsidRPr="00C52166">
              <w:rPr>
                <w:rFonts w:ascii="Arial" w:hAnsi="Arial" w:cs="Arial"/>
                <w:b/>
                <w:sz w:val="16"/>
                <w:szCs w:val="16"/>
              </w:rPr>
              <w:t>1</w:t>
            </w:r>
            <w:r w:rsidR="009067DA" w:rsidRPr="00C52166">
              <w:rPr>
                <w:rFonts w:ascii="Arial" w:hAnsi="Arial" w:cs="Arial"/>
                <w:b/>
                <w:sz w:val="16"/>
                <w:szCs w:val="16"/>
              </w:rPr>
              <w:t>,</w:t>
            </w:r>
            <w:r w:rsidR="004C5788" w:rsidRPr="00C52166">
              <w:rPr>
                <w:rFonts w:ascii="Arial" w:hAnsi="Arial" w:cs="Arial"/>
                <w:b/>
                <w:sz w:val="16"/>
                <w:szCs w:val="16"/>
              </w:rPr>
              <w:t>201</w:t>
            </w:r>
            <w:r w:rsidR="009067DA" w:rsidRPr="00C52166">
              <w:rPr>
                <w:rFonts w:ascii="Arial" w:hAnsi="Arial" w:cs="Arial"/>
                <w:b/>
                <w:sz w:val="16"/>
                <w:szCs w:val="16"/>
              </w:rPr>
              <w:t>,</w:t>
            </w:r>
            <w:r w:rsidR="004C5788" w:rsidRPr="00C52166">
              <w:rPr>
                <w:rFonts w:ascii="Arial" w:hAnsi="Arial" w:cs="Arial"/>
                <w:b/>
                <w:sz w:val="16"/>
                <w:szCs w:val="16"/>
              </w:rPr>
              <w:t>048</w:t>
            </w:r>
          </w:p>
        </w:tc>
      </w:tr>
      <w:tr w:rsidR="009856BF" w:rsidRPr="00996036" w14:paraId="546DCEED" w14:textId="77777777" w:rsidTr="00EC657D">
        <w:trPr>
          <w:trHeight w:val="252"/>
        </w:trPr>
        <w:tc>
          <w:tcPr>
            <w:tcW w:w="4010" w:type="dxa"/>
            <w:tcBorders>
              <w:top w:val="nil"/>
              <w:left w:val="single" w:sz="4" w:space="0" w:color="000000"/>
              <w:bottom w:val="single" w:sz="4" w:space="0" w:color="000000"/>
              <w:right w:val="single" w:sz="4" w:space="0" w:color="000000"/>
            </w:tcBorders>
            <w:shd w:val="clear" w:color="auto" w:fill="auto"/>
            <w:hideMark/>
          </w:tcPr>
          <w:p w14:paraId="47D649A3" w14:textId="77777777" w:rsidR="009856BF" w:rsidRPr="00C52166" w:rsidRDefault="009856BF" w:rsidP="009856BF">
            <w:pPr>
              <w:rPr>
                <w:rFonts w:ascii="Arial" w:hAnsi="Arial" w:cs="Arial"/>
                <w:b/>
                <w:bCs/>
                <w:sz w:val="16"/>
                <w:szCs w:val="16"/>
                <w:lang w:val="en-US"/>
              </w:rPr>
            </w:pPr>
            <w:r w:rsidRPr="00C52166">
              <w:rPr>
                <w:rFonts w:ascii="Arial" w:hAnsi="Arial" w:cs="Arial"/>
                <w:b/>
                <w:bCs/>
                <w:sz w:val="16"/>
                <w:szCs w:val="16"/>
                <w:lang w:val="en-US"/>
              </w:rPr>
              <w:t>Segmented Liabilities</w:t>
            </w:r>
          </w:p>
        </w:tc>
        <w:tc>
          <w:tcPr>
            <w:tcW w:w="1701" w:type="dxa"/>
            <w:tcBorders>
              <w:top w:val="nil"/>
              <w:left w:val="nil"/>
              <w:bottom w:val="single" w:sz="4" w:space="0" w:color="000000"/>
              <w:right w:val="single" w:sz="4" w:space="0" w:color="000000"/>
            </w:tcBorders>
            <w:shd w:val="clear" w:color="auto" w:fill="auto"/>
            <w:noWrap/>
            <w:hideMark/>
          </w:tcPr>
          <w:p w14:paraId="02D3C161" w14:textId="19AB09E6" w:rsidR="009856BF" w:rsidRPr="00C52166" w:rsidRDefault="004C5788" w:rsidP="009856BF">
            <w:pPr>
              <w:jc w:val="right"/>
              <w:rPr>
                <w:rFonts w:ascii="Arial" w:hAnsi="Arial" w:cs="Arial"/>
                <w:color w:val="000000"/>
                <w:sz w:val="16"/>
                <w:szCs w:val="16"/>
                <w:lang w:val="en-US"/>
              </w:rPr>
            </w:pPr>
            <w:r w:rsidRPr="00C52166">
              <w:rPr>
                <w:rFonts w:ascii="Arial" w:hAnsi="Arial" w:cs="Arial"/>
                <w:sz w:val="16"/>
                <w:szCs w:val="16"/>
              </w:rPr>
              <w:t>1</w:t>
            </w:r>
            <w:r w:rsidR="00704469">
              <w:rPr>
                <w:rFonts w:ascii="Arial" w:hAnsi="Arial" w:cs="Arial"/>
                <w:sz w:val="16"/>
                <w:szCs w:val="16"/>
              </w:rPr>
              <w:t>7</w:t>
            </w:r>
            <w:r w:rsidRPr="00C52166">
              <w:rPr>
                <w:rFonts w:ascii="Arial" w:hAnsi="Arial" w:cs="Arial"/>
                <w:sz w:val="16"/>
                <w:szCs w:val="16"/>
              </w:rPr>
              <w:t>8</w:t>
            </w:r>
            <w:r w:rsidR="00F96F4F" w:rsidRPr="00C52166">
              <w:rPr>
                <w:rFonts w:ascii="Arial" w:hAnsi="Arial" w:cs="Arial"/>
                <w:sz w:val="16"/>
                <w:szCs w:val="16"/>
              </w:rPr>
              <w:t>,</w:t>
            </w:r>
            <w:r w:rsidRPr="00C52166">
              <w:rPr>
                <w:rFonts w:ascii="Arial" w:hAnsi="Arial" w:cs="Arial"/>
                <w:sz w:val="16"/>
                <w:szCs w:val="16"/>
              </w:rPr>
              <w:t>620</w:t>
            </w:r>
          </w:p>
        </w:tc>
        <w:tc>
          <w:tcPr>
            <w:tcW w:w="1559" w:type="dxa"/>
            <w:tcBorders>
              <w:top w:val="nil"/>
              <w:left w:val="nil"/>
              <w:bottom w:val="single" w:sz="4" w:space="0" w:color="000000"/>
              <w:right w:val="single" w:sz="4" w:space="0" w:color="000000"/>
            </w:tcBorders>
            <w:shd w:val="clear" w:color="auto" w:fill="auto"/>
            <w:noWrap/>
            <w:hideMark/>
          </w:tcPr>
          <w:p w14:paraId="10AE693A" w14:textId="1E80E8CC" w:rsidR="009856BF" w:rsidRPr="00C52166" w:rsidRDefault="00C50E56" w:rsidP="009856BF">
            <w:pPr>
              <w:jc w:val="right"/>
              <w:rPr>
                <w:rFonts w:ascii="Arial" w:hAnsi="Arial" w:cs="Arial"/>
                <w:color w:val="000000"/>
                <w:sz w:val="16"/>
                <w:szCs w:val="16"/>
                <w:lang w:val="en-US"/>
              </w:rPr>
            </w:pPr>
            <w:r>
              <w:rPr>
                <w:rFonts w:ascii="Arial" w:hAnsi="Arial" w:cs="Arial"/>
                <w:sz w:val="16"/>
                <w:szCs w:val="16"/>
              </w:rPr>
              <w:t>321,249</w:t>
            </w:r>
          </w:p>
        </w:tc>
        <w:tc>
          <w:tcPr>
            <w:tcW w:w="1559" w:type="dxa"/>
            <w:tcBorders>
              <w:top w:val="nil"/>
              <w:left w:val="nil"/>
              <w:bottom w:val="single" w:sz="4" w:space="0" w:color="000000"/>
              <w:right w:val="single" w:sz="4" w:space="0" w:color="000000"/>
            </w:tcBorders>
            <w:shd w:val="clear" w:color="auto" w:fill="auto"/>
            <w:noWrap/>
            <w:hideMark/>
          </w:tcPr>
          <w:p w14:paraId="0E079863" w14:textId="0B38B601" w:rsidR="009856BF" w:rsidRPr="00C52166" w:rsidRDefault="00C50E56" w:rsidP="009856BF">
            <w:pPr>
              <w:jc w:val="right"/>
              <w:rPr>
                <w:rFonts w:ascii="Arial" w:hAnsi="Arial" w:cs="Arial"/>
                <w:b/>
                <w:bCs/>
                <w:color w:val="000000"/>
                <w:sz w:val="16"/>
                <w:szCs w:val="16"/>
                <w:lang w:val="en-US"/>
              </w:rPr>
            </w:pPr>
            <w:r>
              <w:rPr>
                <w:rFonts w:ascii="Arial" w:hAnsi="Arial" w:cs="Arial"/>
                <w:b/>
                <w:sz w:val="16"/>
                <w:szCs w:val="16"/>
              </w:rPr>
              <w:t>4</w:t>
            </w:r>
            <w:r w:rsidR="00704469">
              <w:rPr>
                <w:rFonts w:ascii="Arial" w:hAnsi="Arial" w:cs="Arial"/>
                <w:b/>
                <w:sz w:val="16"/>
                <w:szCs w:val="16"/>
              </w:rPr>
              <w:t>9</w:t>
            </w:r>
            <w:r>
              <w:rPr>
                <w:rFonts w:ascii="Arial" w:hAnsi="Arial" w:cs="Arial"/>
                <w:b/>
                <w:sz w:val="16"/>
                <w:szCs w:val="16"/>
              </w:rPr>
              <w:t>9,869</w:t>
            </w:r>
          </w:p>
        </w:tc>
      </w:tr>
      <w:tr w:rsidR="00EC657D" w:rsidRPr="00996036" w14:paraId="34BC11C7" w14:textId="77777777" w:rsidTr="00EC657D">
        <w:trPr>
          <w:trHeight w:val="252"/>
        </w:trPr>
        <w:tc>
          <w:tcPr>
            <w:tcW w:w="4010" w:type="dxa"/>
            <w:tcBorders>
              <w:top w:val="nil"/>
              <w:left w:val="single" w:sz="4" w:space="0" w:color="000000"/>
              <w:bottom w:val="single" w:sz="4" w:space="0" w:color="000000"/>
              <w:right w:val="single" w:sz="4" w:space="0" w:color="000000"/>
            </w:tcBorders>
            <w:shd w:val="clear" w:color="auto" w:fill="auto"/>
            <w:hideMark/>
          </w:tcPr>
          <w:p w14:paraId="13A84672" w14:textId="77777777" w:rsidR="00996036" w:rsidRPr="00C52166" w:rsidRDefault="00996036" w:rsidP="00996036">
            <w:pPr>
              <w:rPr>
                <w:rFonts w:ascii="Arial" w:hAnsi="Arial" w:cs="Arial"/>
                <w:b/>
                <w:bCs/>
                <w:sz w:val="16"/>
                <w:szCs w:val="16"/>
                <w:lang w:val="en-US"/>
              </w:rPr>
            </w:pPr>
            <w:r w:rsidRPr="00C52166">
              <w:rPr>
                <w:rFonts w:ascii="Arial" w:hAnsi="Arial" w:cs="Arial"/>
                <w:b/>
                <w:bCs/>
                <w:sz w:val="16"/>
                <w:szCs w:val="16"/>
                <w:lang w:val="en-US"/>
              </w:rPr>
              <w:t>Operating activities</w:t>
            </w:r>
          </w:p>
        </w:tc>
        <w:tc>
          <w:tcPr>
            <w:tcW w:w="1701" w:type="dxa"/>
            <w:tcBorders>
              <w:top w:val="nil"/>
              <w:left w:val="nil"/>
              <w:bottom w:val="single" w:sz="4" w:space="0" w:color="000000"/>
              <w:right w:val="single" w:sz="4" w:space="0" w:color="000000"/>
            </w:tcBorders>
            <w:shd w:val="clear" w:color="auto" w:fill="auto"/>
            <w:vAlign w:val="bottom"/>
            <w:hideMark/>
          </w:tcPr>
          <w:p w14:paraId="39A34FEB" w14:textId="77777777" w:rsidR="00996036" w:rsidRPr="00C52166" w:rsidRDefault="00996036" w:rsidP="00996036">
            <w:pPr>
              <w:jc w:val="right"/>
              <w:rPr>
                <w:color w:val="000000"/>
                <w:sz w:val="20"/>
                <w:szCs w:val="20"/>
                <w:lang w:val="en-US"/>
              </w:rPr>
            </w:pPr>
            <w:r w:rsidRPr="00C52166">
              <w:rPr>
                <w:color w:val="000000"/>
                <w:sz w:val="20"/>
                <w:szCs w:val="20"/>
                <w:lang w:val="en-US"/>
              </w:rPr>
              <w:t> </w:t>
            </w:r>
          </w:p>
        </w:tc>
        <w:tc>
          <w:tcPr>
            <w:tcW w:w="1559" w:type="dxa"/>
            <w:tcBorders>
              <w:top w:val="nil"/>
              <w:left w:val="nil"/>
              <w:bottom w:val="single" w:sz="4" w:space="0" w:color="000000"/>
              <w:right w:val="single" w:sz="4" w:space="0" w:color="000000"/>
            </w:tcBorders>
            <w:shd w:val="clear" w:color="auto" w:fill="auto"/>
            <w:vAlign w:val="bottom"/>
            <w:hideMark/>
          </w:tcPr>
          <w:p w14:paraId="493DAF4E" w14:textId="77777777" w:rsidR="00996036" w:rsidRPr="00C52166" w:rsidRDefault="00996036" w:rsidP="00996036">
            <w:pPr>
              <w:jc w:val="right"/>
              <w:rPr>
                <w:color w:val="000000"/>
                <w:sz w:val="20"/>
                <w:szCs w:val="20"/>
                <w:lang w:val="en-US"/>
              </w:rPr>
            </w:pPr>
            <w:r w:rsidRPr="00C52166">
              <w:rPr>
                <w:color w:val="000000"/>
                <w:sz w:val="20"/>
                <w:szCs w:val="20"/>
                <w:lang w:val="en-US"/>
              </w:rPr>
              <w:t> </w:t>
            </w:r>
          </w:p>
        </w:tc>
        <w:tc>
          <w:tcPr>
            <w:tcW w:w="1559" w:type="dxa"/>
            <w:tcBorders>
              <w:top w:val="nil"/>
              <w:left w:val="nil"/>
              <w:bottom w:val="single" w:sz="4" w:space="0" w:color="000000"/>
              <w:right w:val="single" w:sz="4" w:space="0" w:color="000000"/>
            </w:tcBorders>
            <w:shd w:val="clear" w:color="auto" w:fill="auto"/>
            <w:vAlign w:val="bottom"/>
            <w:hideMark/>
          </w:tcPr>
          <w:p w14:paraId="5E7B215F" w14:textId="10F65F48" w:rsidR="00996036" w:rsidRPr="00C52166" w:rsidRDefault="00996036" w:rsidP="00996036">
            <w:pPr>
              <w:jc w:val="right"/>
              <w:rPr>
                <w:b/>
                <w:bCs/>
                <w:color w:val="000000"/>
                <w:sz w:val="20"/>
                <w:szCs w:val="20"/>
                <w:lang w:val="en-US"/>
              </w:rPr>
            </w:pPr>
          </w:p>
        </w:tc>
      </w:tr>
      <w:tr w:rsidR="003D248C" w:rsidRPr="00E91EDA" w14:paraId="5E787A4A" w14:textId="77777777" w:rsidTr="00EC657D">
        <w:trPr>
          <w:trHeight w:val="252"/>
        </w:trPr>
        <w:tc>
          <w:tcPr>
            <w:tcW w:w="4010" w:type="dxa"/>
            <w:tcBorders>
              <w:top w:val="nil"/>
              <w:left w:val="single" w:sz="4" w:space="0" w:color="000000"/>
              <w:bottom w:val="nil"/>
              <w:right w:val="single" w:sz="4" w:space="0" w:color="000000"/>
            </w:tcBorders>
            <w:shd w:val="clear" w:color="auto" w:fill="auto"/>
            <w:hideMark/>
          </w:tcPr>
          <w:p w14:paraId="2E02D816" w14:textId="77777777" w:rsidR="003D248C" w:rsidRPr="00C52166" w:rsidRDefault="003D248C" w:rsidP="003D248C">
            <w:pPr>
              <w:rPr>
                <w:rFonts w:ascii="Arial" w:hAnsi="Arial" w:cs="Arial"/>
                <w:sz w:val="16"/>
                <w:szCs w:val="16"/>
                <w:lang w:val="en-US"/>
              </w:rPr>
            </w:pPr>
            <w:r w:rsidRPr="00C52166">
              <w:rPr>
                <w:rFonts w:ascii="Arial" w:hAnsi="Arial" w:cs="Arial"/>
                <w:sz w:val="16"/>
                <w:szCs w:val="16"/>
                <w:lang w:val="en-US"/>
              </w:rPr>
              <w:t>Depreciation</w:t>
            </w:r>
          </w:p>
        </w:tc>
        <w:tc>
          <w:tcPr>
            <w:tcW w:w="1701" w:type="dxa"/>
            <w:tcBorders>
              <w:top w:val="nil"/>
              <w:left w:val="nil"/>
              <w:bottom w:val="nil"/>
              <w:right w:val="single" w:sz="4" w:space="0" w:color="000000"/>
            </w:tcBorders>
            <w:shd w:val="clear" w:color="auto" w:fill="auto"/>
            <w:noWrap/>
            <w:hideMark/>
          </w:tcPr>
          <w:p w14:paraId="3E2880D6" w14:textId="6CF04A3F" w:rsidR="003D248C" w:rsidRPr="00C52166" w:rsidRDefault="003D248C" w:rsidP="003D248C">
            <w:pPr>
              <w:jc w:val="right"/>
              <w:rPr>
                <w:rFonts w:ascii="Arial" w:hAnsi="Arial" w:cs="Arial"/>
                <w:color w:val="000000"/>
                <w:sz w:val="16"/>
                <w:szCs w:val="16"/>
                <w:lang w:val="en-US"/>
              </w:rPr>
            </w:pPr>
            <w:r w:rsidRPr="00C52166">
              <w:rPr>
                <w:rFonts w:ascii="Arial" w:hAnsi="Arial" w:cs="Arial"/>
                <w:sz w:val="16"/>
                <w:szCs w:val="16"/>
              </w:rPr>
              <w:t xml:space="preserve"> 1</w:t>
            </w:r>
            <w:r w:rsidR="004C5788" w:rsidRPr="00C52166">
              <w:rPr>
                <w:rFonts w:ascii="Arial" w:hAnsi="Arial" w:cs="Arial"/>
                <w:sz w:val="16"/>
                <w:szCs w:val="16"/>
              </w:rPr>
              <w:t>44</w:t>
            </w:r>
            <w:r w:rsidRPr="00C52166">
              <w:rPr>
                <w:rFonts w:ascii="Arial" w:hAnsi="Arial" w:cs="Arial"/>
                <w:sz w:val="16"/>
                <w:szCs w:val="16"/>
              </w:rPr>
              <w:t xml:space="preserve"> </w:t>
            </w:r>
          </w:p>
        </w:tc>
        <w:tc>
          <w:tcPr>
            <w:tcW w:w="1559" w:type="dxa"/>
            <w:tcBorders>
              <w:top w:val="nil"/>
              <w:left w:val="nil"/>
              <w:bottom w:val="nil"/>
              <w:right w:val="single" w:sz="4" w:space="0" w:color="000000"/>
            </w:tcBorders>
            <w:shd w:val="clear" w:color="auto" w:fill="auto"/>
            <w:hideMark/>
          </w:tcPr>
          <w:p w14:paraId="32E3581A" w14:textId="27459CF5" w:rsidR="003D248C" w:rsidRPr="00C52166" w:rsidRDefault="003D248C" w:rsidP="003D248C">
            <w:pPr>
              <w:jc w:val="right"/>
              <w:rPr>
                <w:rFonts w:ascii="Arial" w:hAnsi="Arial" w:cs="Arial"/>
                <w:sz w:val="16"/>
                <w:szCs w:val="16"/>
                <w:lang w:val="en-US"/>
              </w:rPr>
            </w:pPr>
            <w:r w:rsidRPr="00C52166">
              <w:rPr>
                <w:rFonts w:ascii="Arial" w:hAnsi="Arial" w:cs="Arial"/>
                <w:sz w:val="16"/>
                <w:szCs w:val="16"/>
              </w:rPr>
              <w:t xml:space="preserve"> -   </w:t>
            </w:r>
          </w:p>
        </w:tc>
        <w:tc>
          <w:tcPr>
            <w:tcW w:w="1559" w:type="dxa"/>
            <w:tcBorders>
              <w:top w:val="nil"/>
              <w:left w:val="nil"/>
              <w:bottom w:val="nil"/>
              <w:right w:val="single" w:sz="4" w:space="0" w:color="000000"/>
            </w:tcBorders>
            <w:shd w:val="clear" w:color="auto" w:fill="auto"/>
            <w:hideMark/>
          </w:tcPr>
          <w:p w14:paraId="56B7A66D" w14:textId="7EFBD662" w:rsidR="003D248C" w:rsidRPr="00C52166" w:rsidRDefault="003D248C" w:rsidP="003D248C">
            <w:pPr>
              <w:jc w:val="right"/>
              <w:rPr>
                <w:rFonts w:ascii="Arial" w:hAnsi="Arial" w:cs="Arial"/>
                <w:b/>
                <w:sz w:val="16"/>
                <w:szCs w:val="16"/>
                <w:lang w:val="en-US"/>
              </w:rPr>
            </w:pPr>
            <w:r w:rsidRPr="00C52166">
              <w:rPr>
                <w:rFonts w:ascii="Arial" w:hAnsi="Arial" w:cs="Arial"/>
                <w:b/>
                <w:sz w:val="16"/>
                <w:szCs w:val="16"/>
              </w:rPr>
              <w:t xml:space="preserve"> 1</w:t>
            </w:r>
            <w:r w:rsidR="004C5788" w:rsidRPr="00C52166">
              <w:rPr>
                <w:rFonts w:ascii="Arial" w:hAnsi="Arial" w:cs="Arial"/>
                <w:b/>
                <w:sz w:val="16"/>
                <w:szCs w:val="16"/>
              </w:rPr>
              <w:t>44</w:t>
            </w:r>
            <w:r w:rsidRPr="00C52166">
              <w:rPr>
                <w:rFonts w:ascii="Arial" w:hAnsi="Arial" w:cs="Arial"/>
                <w:b/>
                <w:sz w:val="16"/>
                <w:szCs w:val="16"/>
              </w:rPr>
              <w:t xml:space="preserve"> </w:t>
            </w:r>
          </w:p>
        </w:tc>
      </w:tr>
      <w:tr w:rsidR="00E17858" w:rsidRPr="00E91EDA" w14:paraId="346C6E04" w14:textId="77777777" w:rsidTr="00EC657D">
        <w:trPr>
          <w:trHeight w:val="252"/>
        </w:trPr>
        <w:tc>
          <w:tcPr>
            <w:tcW w:w="4010" w:type="dxa"/>
            <w:tcBorders>
              <w:top w:val="nil"/>
              <w:left w:val="single" w:sz="4" w:space="0" w:color="000000"/>
              <w:bottom w:val="nil"/>
              <w:right w:val="single" w:sz="4" w:space="0" w:color="000000"/>
            </w:tcBorders>
            <w:shd w:val="clear" w:color="auto" w:fill="auto"/>
          </w:tcPr>
          <w:p w14:paraId="13738B9A" w14:textId="073068E5" w:rsidR="00E17858" w:rsidRPr="00C52166" w:rsidRDefault="00E17858" w:rsidP="00E17858">
            <w:pPr>
              <w:rPr>
                <w:rFonts w:ascii="Arial" w:hAnsi="Arial" w:cs="Arial"/>
                <w:sz w:val="16"/>
                <w:szCs w:val="16"/>
                <w:lang w:val="en-US"/>
              </w:rPr>
            </w:pPr>
            <w:r w:rsidRPr="00C52166">
              <w:rPr>
                <w:rFonts w:ascii="Arial" w:hAnsi="Arial" w:cs="Arial"/>
                <w:sz w:val="16"/>
                <w:szCs w:val="16"/>
                <w:lang w:val="en-US"/>
              </w:rPr>
              <w:t>Exchange loss</w:t>
            </w:r>
          </w:p>
        </w:tc>
        <w:tc>
          <w:tcPr>
            <w:tcW w:w="1701" w:type="dxa"/>
            <w:tcBorders>
              <w:top w:val="nil"/>
              <w:left w:val="nil"/>
              <w:bottom w:val="nil"/>
              <w:right w:val="single" w:sz="4" w:space="0" w:color="000000"/>
            </w:tcBorders>
            <w:shd w:val="clear" w:color="auto" w:fill="auto"/>
            <w:noWrap/>
          </w:tcPr>
          <w:p w14:paraId="52BF5EEC" w14:textId="0828F7BD" w:rsidR="00E17858" w:rsidRPr="00C52166" w:rsidRDefault="00E17858" w:rsidP="00E17858">
            <w:pPr>
              <w:jc w:val="right"/>
              <w:rPr>
                <w:rFonts w:ascii="Arial" w:hAnsi="Arial" w:cs="Arial"/>
                <w:sz w:val="16"/>
                <w:szCs w:val="16"/>
              </w:rPr>
            </w:pPr>
            <w:r w:rsidRPr="00C52166">
              <w:rPr>
                <w:rFonts w:ascii="Arial" w:hAnsi="Arial" w:cs="Arial"/>
                <w:color w:val="000000"/>
                <w:sz w:val="16"/>
                <w:szCs w:val="16"/>
              </w:rPr>
              <w:t xml:space="preserve"> </w:t>
            </w:r>
            <w:r w:rsidR="004C5788" w:rsidRPr="00C52166">
              <w:rPr>
                <w:rFonts w:ascii="Arial" w:hAnsi="Arial" w:cs="Arial"/>
                <w:color w:val="000000"/>
                <w:sz w:val="16"/>
                <w:szCs w:val="16"/>
              </w:rPr>
              <w:t>31,7</w:t>
            </w:r>
            <w:r w:rsidR="001745AE">
              <w:rPr>
                <w:rFonts w:ascii="Arial" w:hAnsi="Arial" w:cs="Arial"/>
                <w:color w:val="000000"/>
                <w:sz w:val="16"/>
                <w:szCs w:val="16"/>
              </w:rPr>
              <w:t>59</w:t>
            </w:r>
          </w:p>
        </w:tc>
        <w:tc>
          <w:tcPr>
            <w:tcW w:w="1559" w:type="dxa"/>
            <w:tcBorders>
              <w:top w:val="nil"/>
              <w:left w:val="nil"/>
              <w:bottom w:val="nil"/>
              <w:right w:val="single" w:sz="4" w:space="0" w:color="000000"/>
            </w:tcBorders>
            <w:shd w:val="clear" w:color="auto" w:fill="auto"/>
          </w:tcPr>
          <w:p w14:paraId="12A9649F" w14:textId="0A7751A7" w:rsidR="00E17858" w:rsidRPr="00C52166" w:rsidRDefault="00E17858" w:rsidP="00E17858">
            <w:pPr>
              <w:jc w:val="right"/>
              <w:rPr>
                <w:rFonts w:ascii="Arial" w:hAnsi="Arial" w:cs="Arial"/>
                <w:sz w:val="16"/>
                <w:szCs w:val="16"/>
              </w:rPr>
            </w:pPr>
            <w:r w:rsidRPr="00C52166">
              <w:rPr>
                <w:rFonts w:ascii="Arial" w:hAnsi="Arial" w:cs="Arial"/>
                <w:sz w:val="16"/>
                <w:szCs w:val="16"/>
              </w:rPr>
              <w:t xml:space="preserve">           </w:t>
            </w:r>
            <w:r w:rsidR="004C5788" w:rsidRPr="00C52166">
              <w:rPr>
                <w:rFonts w:ascii="Arial" w:hAnsi="Arial" w:cs="Arial"/>
                <w:sz w:val="16"/>
                <w:szCs w:val="16"/>
              </w:rPr>
              <w:t>38,766</w:t>
            </w:r>
          </w:p>
        </w:tc>
        <w:tc>
          <w:tcPr>
            <w:tcW w:w="1559" w:type="dxa"/>
            <w:tcBorders>
              <w:top w:val="nil"/>
              <w:left w:val="nil"/>
              <w:bottom w:val="nil"/>
              <w:right w:val="single" w:sz="4" w:space="0" w:color="000000"/>
            </w:tcBorders>
            <w:shd w:val="clear" w:color="auto" w:fill="auto"/>
          </w:tcPr>
          <w:p w14:paraId="0785D5EC" w14:textId="26B4B347" w:rsidR="00E17858" w:rsidRPr="00C52166" w:rsidRDefault="00E17858" w:rsidP="00E17858">
            <w:pPr>
              <w:jc w:val="right"/>
              <w:rPr>
                <w:rFonts w:ascii="Arial" w:hAnsi="Arial" w:cs="Arial"/>
                <w:b/>
                <w:sz w:val="16"/>
                <w:szCs w:val="16"/>
              </w:rPr>
            </w:pPr>
            <w:r w:rsidRPr="00C52166">
              <w:rPr>
                <w:rFonts w:ascii="Arial" w:hAnsi="Arial" w:cs="Arial"/>
                <w:b/>
                <w:sz w:val="16"/>
                <w:szCs w:val="16"/>
              </w:rPr>
              <w:t xml:space="preserve">         </w:t>
            </w:r>
            <w:r w:rsidR="004C5788" w:rsidRPr="00C52166">
              <w:rPr>
                <w:rFonts w:ascii="Arial" w:hAnsi="Arial" w:cs="Arial"/>
                <w:b/>
                <w:sz w:val="16"/>
                <w:szCs w:val="16"/>
              </w:rPr>
              <w:t>70,52</w:t>
            </w:r>
            <w:r w:rsidR="001745AE">
              <w:rPr>
                <w:rFonts w:ascii="Arial" w:hAnsi="Arial" w:cs="Arial"/>
                <w:b/>
                <w:sz w:val="16"/>
                <w:szCs w:val="16"/>
              </w:rPr>
              <w:t>5</w:t>
            </w:r>
          </w:p>
        </w:tc>
      </w:tr>
      <w:tr w:rsidR="00E17858" w:rsidRPr="00E91EDA" w14:paraId="4E25D587" w14:textId="77777777" w:rsidTr="00EC657D">
        <w:trPr>
          <w:trHeight w:val="252"/>
        </w:trPr>
        <w:tc>
          <w:tcPr>
            <w:tcW w:w="4010" w:type="dxa"/>
            <w:tcBorders>
              <w:top w:val="nil"/>
              <w:left w:val="single" w:sz="4" w:space="0" w:color="000000"/>
              <w:bottom w:val="nil"/>
              <w:right w:val="single" w:sz="4" w:space="0" w:color="000000"/>
            </w:tcBorders>
            <w:shd w:val="clear" w:color="auto" w:fill="auto"/>
          </w:tcPr>
          <w:p w14:paraId="6D8661D8" w14:textId="052883C2" w:rsidR="00E17858" w:rsidRPr="00C52166" w:rsidRDefault="00E17858" w:rsidP="00E17858">
            <w:pPr>
              <w:rPr>
                <w:rFonts w:ascii="Arial" w:hAnsi="Arial" w:cs="Arial"/>
                <w:sz w:val="16"/>
                <w:szCs w:val="16"/>
                <w:lang w:val="en-US"/>
              </w:rPr>
            </w:pPr>
            <w:r w:rsidRPr="00C52166">
              <w:rPr>
                <w:rFonts w:ascii="Arial" w:hAnsi="Arial" w:cs="Arial"/>
                <w:sz w:val="16"/>
                <w:szCs w:val="16"/>
                <w:lang w:val="en-US"/>
              </w:rPr>
              <w:t>Exploration and evaluation expenses</w:t>
            </w:r>
          </w:p>
        </w:tc>
        <w:tc>
          <w:tcPr>
            <w:tcW w:w="1701" w:type="dxa"/>
            <w:tcBorders>
              <w:top w:val="nil"/>
              <w:left w:val="nil"/>
              <w:bottom w:val="nil"/>
              <w:right w:val="single" w:sz="4" w:space="0" w:color="000000"/>
            </w:tcBorders>
            <w:shd w:val="clear" w:color="auto" w:fill="auto"/>
            <w:noWrap/>
          </w:tcPr>
          <w:p w14:paraId="57649DC5" w14:textId="5072C13B" w:rsidR="00E17858" w:rsidRPr="00C52166" w:rsidRDefault="0027185C" w:rsidP="00E17858">
            <w:pPr>
              <w:jc w:val="right"/>
              <w:rPr>
                <w:rFonts w:ascii="Arial" w:hAnsi="Arial" w:cs="Arial"/>
                <w:sz w:val="16"/>
                <w:szCs w:val="16"/>
              </w:rPr>
            </w:pPr>
            <w:r>
              <w:rPr>
                <w:rFonts w:ascii="Arial" w:hAnsi="Arial" w:cs="Arial"/>
                <w:sz w:val="16"/>
                <w:szCs w:val="16"/>
              </w:rPr>
              <w:t>34</w:t>
            </w:r>
            <w:r w:rsidR="004C5788" w:rsidRPr="00C52166">
              <w:rPr>
                <w:rFonts w:ascii="Arial" w:hAnsi="Arial" w:cs="Arial"/>
                <w:sz w:val="16"/>
                <w:szCs w:val="16"/>
              </w:rPr>
              <w:t>1,544</w:t>
            </w:r>
          </w:p>
        </w:tc>
        <w:tc>
          <w:tcPr>
            <w:tcW w:w="1559" w:type="dxa"/>
            <w:tcBorders>
              <w:top w:val="nil"/>
              <w:left w:val="nil"/>
              <w:bottom w:val="nil"/>
              <w:right w:val="single" w:sz="4" w:space="0" w:color="000000"/>
            </w:tcBorders>
            <w:shd w:val="clear" w:color="auto" w:fill="auto"/>
          </w:tcPr>
          <w:p w14:paraId="4A05639C" w14:textId="15A0CADA" w:rsidR="00E17858" w:rsidRPr="00C52166" w:rsidRDefault="00E17858" w:rsidP="00E17858">
            <w:pPr>
              <w:jc w:val="right"/>
              <w:rPr>
                <w:rFonts w:ascii="Arial" w:hAnsi="Arial" w:cs="Arial"/>
                <w:sz w:val="16"/>
                <w:szCs w:val="16"/>
              </w:rPr>
            </w:pPr>
            <w:r w:rsidRPr="00C52166">
              <w:rPr>
                <w:rFonts w:ascii="Arial" w:hAnsi="Arial" w:cs="Arial"/>
                <w:sz w:val="16"/>
                <w:szCs w:val="16"/>
              </w:rPr>
              <w:t xml:space="preserve">  </w:t>
            </w:r>
            <w:r w:rsidR="00C50E56">
              <w:rPr>
                <w:rFonts w:ascii="Arial" w:hAnsi="Arial" w:cs="Arial"/>
                <w:sz w:val="16"/>
                <w:szCs w:val="16"/>
              </w:rPr>
              <w:t>924,464</w:t>
            </w:r>
          </w:p>
        </w:tc>
        <w:tc>
          <w:tcPr>
            <w:tcW w:w="1559" w:type="dxa"/>
            <w:tcBorders>
              <w:top w:val="nil"/>
              <w:left w:val="nil"/>
              <w:bottom w:val="nil"/>
              <w:right w:val="single" w:sz="4" w:space="0" w:color="000000"/>
            </w:tcBorders>
            <w:shd w:val="clear" w:color="auto" w:fill="auto"/>
          </w:tcPr>
          <w:p w14:paraId="4BCB37BB" w14:textId="1FB672E2" w:rsidR="00E17858" w:rsidRPr="00C52166" w:rsidRDefault="00E17858" w:rsidP="00E17858">
            <w:pPr>
              <w:jc w:val="right"/>
              <w:rPr>
                <w:rFonts w:ascii="Arial" w:hAnsi="Arial" w:cs="Arial"/>
                <w:b/>
                <w:sz w:val="16"/>
                <w:szCs w:val="16"/>
              </w:rPr>
            </w:pPr>
            <w:r w:rsidRPr="00C52166">
              <w:rPr>
                <w:rFonts w:ascii="Arial" w:hAnsi="Arial" w:cs="Arial"/>
                <w:b/>
                <w:sz w:val="16"/>
                <w:szCs w:val="16"/>
              </w:rPr>
              <w:t xml:space="preserve">  </w:t>
            </w:r>
            <w:r w:rsidR="004C5788" w:rsidRPr="00C52166">
              <w:rPr>
                <w:rFonts w:ascii="Arial" w:hAnsi="Arial" w:cs="Arial"/>
                <w:b/>
                <w:sz w:val="16"/>
                <w:szCs w:val="16"/>
              </w:rPr>
              <w:t>1,</w:t>
            </w:r>
            <w:r w:rsidRPr="00C52166">
              <w:rPr>
                <w:rFonts w:ascii="Arial" w:hAnsi="Arial" w:cs="Arial"/>
                <w:b/>
                <w:sz w:val="16"/>
                <w:szCs w:val="16"/>
              </w:rPr>
              <w:t>2</w:t>
            </w:r>
            <w:r w:rsidR="0027185C">
              <w:rPr>
                <w:rFonts w:ascii="Arial" w:hAnsi="Arial" w:cs="Arial"/>
                <w:b/>
                <w:sz w:val="16"/>
                <w:szCs w:val="16"/>
              </w:rPr>
              <w:t>6</w:t>
            </w:r>
            <w:r w:rsidR="00C50E56">
              <w:rPr>
                <w:rFonts w:ascii="Arial" w:hAnsi="Arial" w:cs="Arial"/>
                <w:b/>
                <w:sz w:val="16"/>
                <w:szCs w:val="16"/>
              </w:rPr>
              <w:t>6,008</w:t>
            </w:r>
          </w:p>
        </w:tc>
      </w:tr>
      <w:tr w:rsidR="00E17858" w:rsidRPr="00996036" w14:paraId="533CE15F" w14:textId="77777777" w:rsidTr="00EC657D">
        <w:trPr>
          <w:trHeight w:val="252"/>
        </w:trPr>
        <w:tc>
          <w:tcPr>
            <w:tcW w:w="4010" w:type="dxa"/>
            <w:tcBorders>
              <w:top w:val="nil"/>
              <w:left w:val="single" w:sz="4" w:space="0" w:color="000000"/>
              <w:bottom w:val="nil"/>
              <w:right w:val="single" w:sz="4" w:space="0" w:color="000000"/>
            </w:tcBorders>
            <w:shd w:val="clear" w:color="auto" w:fill="auto"/>
            <w:hideMark/>
          </w:tcPr>
          <w:p w14:paraId="7464786B" w14:textId="77777777" w:rsidR="00E17858" w:rsidRPr="00C52166" w:rsidRDefault="00E17858" w:rsidP="00E17858">
            <w:pPr>
              <w:rPr>
                <w:rFonts w:ascii="Arial" w:hAnsi="Arial" w:cs="Arial"/>
                <w:sz w:val="16"/>
                <w:szCs w:val="16"/>
                <w:lang w:val="en-US"/>
              </w:rPr>
            </w:pPr>
            <w:r w:rsidRPr="00C52166">
              <w:rPr>
                <w:rFonts w:ascii="Arial" w:hAnsi="Arial" w:cs="Arial"/>
                <w:sz w:val="16"/>
                <w:szCs w:val="16"/>
                <w:lang w:val="en-US"/>
              </w:rPr>
              <w:t>General and administrative</w:t>
            </w:r>
          </w:p>
        </w:tc>
        <w:tc>
          <w:tcPr>
            <w:tcW w:w="1701" w:type="dxa"/>
            <w:tcBorders>
              <w:top w:val="nil"/>
              <w:left w:val="nil"/>
              <w:bottom w:val="nil"/>
              <w:right w:val="single" w:sz="4" w:space="0" w:color="000000"/>
            </w:tcBorders>
            <w:shd w:val="clear" w:color="auto" w:fill="auto"/>
            <w:noWrap/>
            <w:hideMark/>
          </w:tcPr>
          <w:p w14:paraId="4D6C88AE" w14:textId="12FDF6F0" w:rsidR="00E17858" w:rsidRPr="00C52166" w:rsidRDefault="00E17858" w:rsidP="00E17858">
            <w:pPr>
              <w:jc w:val="right"/>
              <w:rPr>
                <w:rFonts w:ascii="Arial" w:hAnsi="Arial" w:cs="Arial"/>
                <w:color w:val="000000"/>
                <w:sz w:val="16"/>
                <w:szCs w:val="16"/>
                <w:lang w:val="en-US"/>
              </w:rPr>
            </w:pPr>
            <w:r w:rsidRPr="00C52166">
              <w:rPr>
                <w:rFonts w:ascii="Arial" w:hAnsi="Arial" w:cs="Arial"/>
                <w:sz w:val="16"/>
                <w:szCs w:val="16"/>
              </w:rPr>
              <w:t xml:space="preserve">  </w:t>
            </w:r>
            <w:r w:rsidR="004C5788" w:rsidRPr="00C52166">
              <w:rPr>
                <w:rFonts w:ascii="Arial" w:hAnsi="Arial" w:cs="Arial"/>
                <w:sz w:val="16"/>
                <w:szCs w:val="16"/>
              </w:rPr>
              <w:t>636</w:t>
            </w:r>
            <w:r w:rsidR="00B148C5" w:rsidRPr="00C52166">
              <w:rPr>
                <w:rFonts w:ascii="Arial" w:hAnsi="Arial" w:cs="Arial"/>
                <w:sz w:val="16"/>
                <w:szCs w:val="16"/>
              </w:rPr>
              <w:t>,</w:t>
            </w:r>
            <w:r w:rsidR="004C5788" w:rsidRPr="00C52166">
              <w:rPr>
                <w:rFonts w:ascii="Arial" w:hAnsi="Arial" w:cs="Arial"/>
                <w:sz w:val="16"/>
                <w:szCs w:val="16"/>
              </w:rPr>
              <w:t>432</w:t>
            </w:r>
          </w:p>
        </w:tc>
        <w:tc>
          <w:tcPr>
            <w:tcW w:w="1559" w:type="dxa"/>
            <w:tcBorders>
              <w:top w:val="nil"/>
              <w:left w:val="nil"/>
              <w:bottom w:val="nil"/>
              <w:right w:val="single" w:sz="4" w:space="0" w:color="000000"/>
            </w:tcBorders>
            <w:shd w:val="clear" w:color="auto" w:fill="auto"/>
            <w:noWrap/>
            <w:hideMark/>
          </w:tcPr>
          <w:p w14:paraId="57C46AC7" w14:textId="5261C8EF" w:rsidR="00E17858" w:rsidRPr="00C52166" w:rsidRDefault="004C5788" w:rsidP="00E17858">
            <w:pPr>
              <w:jc w:val="right"/>
              <w:rPr>
                <w:rFonts w:ascii="Arial" w:hAnsi="Arial" w:cs="Arial"/>
                <w:color w:val="000000"/>
                <w:sz w:val="16"/>
                <w:szCs w:val="16"/>
                <w:lang w:val="en-US"/>
              </w:rPr>
            </w:pPr>
            <w:r w:rsidRPr="00C52166">
              <w:rPr>
                <w:rFonts w:ascii="Arial" w:hAnsi="Arial" w:cs="Arial"/>
                <w:sz w:val="16"/>
                <w:szCs w:val="16"/>
              </w:rPr>
              <w:t>36</w:t>
            </w:r>
            <w:r w:rsidR="00395861">
              <w:rPr>
                <w:rFonts w:ascii="Arial" w:hAnsi="Arial" w:cs="Arial"/>
                <w:sz w:val="16"/>
                <w:szCs w:val="16"/>
              </w:rPr>
              <w:t>6,611</w:t>
            </w:r>
          </w:p>
        </w:tc>
        <w:tc>
          <w:tcPr>
            <w:tcW w:w="1559" w:type="dxa"/>
            <w:tcBorders>
              <w:top w:val="nil"/>
              <w:left w:val="nil"/>
              <w:bottom w:val="nil"/>
              <w:right w:val="single" w:sz="4" w:space="0" w:color="000000"/>
            </w:tcBorders>
            <w:shd w:val="clear" w:color="auto" w:fill="auto"/>
            <w:noWrap/>
            <w:hideMark/>
          </w:tcPr>
          <w:p w14:paraId="25413FE4" w14:textId="5BE438E3" w:rsidR="00E17858" w:rsidRPr="00C52166" w:rsidRDefault="00E17858" w:rsidP="00E17858">
            <w:pPr>
              <w:jc w:val="right"/>
              <w:rPr>
                <w:rFonts w:ascii="Arial" w:hAnsi="Arial" w:cs="Arial"/>
                <w:b/>
                <w:color w:val="000000"/>
                <w:sz w:val="16"/>
                <w:szCs w:val="16"/>
                <w:lang w:val="en-US"/>
              </w:rPr>
            </w:pPr>
            <w:r w:rsidRPr="00C52166">
              <w:rPr>
                <w:rFonts w:ascii="Arial" w:hAnsi="Arial" w:cs="Arial"/>
                <w:b/>
                <w:sz w:val="16"/>
                <w:szCs w:val="16"/>
              </w:rPr>
              <w:t xml:space="preserve">   1,00</w:t>
            </w:r>
            <w:r w:rsidR="00395861">
              <w:rPr>
                <w:rFonts w:ascii="Arial" w:hAnsi="Arial" w:cs="Arial"/>
                <w:b/>
                <w:sz w:val="16"/>
                <w:szCs w:val="16"/>
              </w:rPr>
              <w:t>3,043</w:t>
            </w:r>
          </w:p>
        </w:tc>
      </w:tr>
      <w:tr w:rsidR="00E17858" w:rsidRPr="00996036" w14:paraId="468C0E3F" w14:textId="77777777" w:rsidTr="00EC657D">
        <w:trPr>
          <w:trHeight w:val="252"/>
        </w:trPr>
        <w:tc>
          <w:tcPr>
            <w:tcW w:w="4010" w:type="dxa"/>
            <w:tcBorders>
              <w:top w:val="nil"/>
              <w:left w:val="single" w:sz="4" w:space="0" w:color="000000"/>
              <w:bottom w:val="nil"/>
              <w:right w:val="single" w:sz="4" w:space="0" w:color="000000"/>
            </w:tcBorders>
            <w:shd w:val="clear" w:color="auto" w:fill="auto"/>
            <w:hideMark/>
          </w:tcPr>
          <w:p w14:paraId="619EE7A8" w14:textId="77777777" w:rsidR="00E17858" w:rsidRPr="00C52166" w:rsidRDefault="00E17858" w:rsidP="00E17858">
            <w:pPr>
              <w:rPr>
                <w:rFonts w:ascii="Arial" w:hAnsi="Arial" w:cs="Arial"/>
                <w:sz w:val="16"/>
                <w:szCs w:val="16"/>
                <w:lang w:val="en-US"/>
              </w:rPr>
            </w:pPr>
            <w:r w:rsidRPr="00C52166">
              <w:rPr>
                <w:rFonts w:ascii="Arial" w:hAnsi="Arial" w:cs="Arial"/>
                <w:sz w:val="16"/>
                <w:szCs w:val="16"/>
                <w:lang w:val="en-US"/>
              </w:rPr>
              <w:t>Professional fees</w:t>
            </w:r>
          </w:p>
        </w:tc>
        <w:tc>
          <w:tcPr>
            <w:tcW w:w="1701" w:type="dxa"/>
            <w:tcBorders>
              <w:top w:val="nil"/>
              <w:left w:val="nil"/>
              <w:bottom w:val="nil"/>
              <w:right w:val="single" w:sz="4" w:space="0" w:color="000000"/>
            </w:tcBorders>
            <w:shd w:val="clear" w:color="auto" w:fill="auto"/>
            <w:noWrap/>
            <w:hideMark/>
          </w:tcPr>
          <w:p w14:paraId="2829F252" w14:textId="0209A96E" w:rsidR="00E17858" w:rsidRPr="00C52166" w:rsidRDefault="004C5788" w:rsidP="00E17858">
            <w:pPr>
              <w:jc w:val="right"/>
              <w:rPr>
                <w:rFonts w:ascii="Arial" w:hAnsi="Arial" w:cs="Arial"/>
                <w:color w:val="000000"/>
                <w:sz w:val="16"/>
                <w:szCs w:val="16"/>
                <w:lang w:val="en-US"/>
              </w:rPr>
            </w:pPr>
            <w:r w:rsidRPr="00C52166">
              <w:rPr>
                <w:rFonts w:ascii="Arial" w:hAnsi="Arial" w:cs="Arial"/>
                <w:sz w:val="16"/>
                <w:szCs w:val="16"/>
              </w:rPr>
              <w:t>96</w:t>
            </w:r>
            <w:r w:rsidR="00B148C5" w:rsidRPr="00C52166">
              <w:rPr>
                <w:rFonts w:ascii="Arial" w:hAnsi="Arial" w:cs="Arial"/>
                <w:sz w:val="16"/>
                <w:szCs w:val="16"/>
              </w:rPr>
              <w:t>,</w:t>
            </w:r>
            <w:r w:rsidRPr="00C52166">
              <w:rPr>
                <w:rFonts w:ascii="Arial" w:hAnsi="Arial" w:cs="Arial"/>
                <w:sz w:val="16"/>
                <w:szCs w:val="16"/>
              </w:rPr>
              <w:t>212</w:t>
            </w:r>
          </w:p>
        </w:tc>
        <w:tc>
          <w:tcPr>
            <w:tcW w:w="1559" w:type="dxa"/>
            <w:tcBorders>
              <w:top w:val="nil"/>
              <w:left w:val="nil"/>
              <w:bottom w:val="nil"/>
              <w:right w:val="single" w:sz="4" w:space="0" w:color="000000"/>
            </w:tcBorders>
            <w:shd w:val="clear" w:color="auto" w:fill="auto"/>
            <w:noWrap/>
            <w:hideMark/>
          </w:tcPr>
          <w:p w14:paraId="6C4208E8" w14:textId="11F93D2B" w:rsidR="00E17858" w:rsidRPr="00C52166" w:rsidRDefault="004C5788" w:rsidP="00E17858">
            <w:pPr>
              <w:jc w:val="right"/>
              <w:rPr>
                <w:rFonts w:ascii="Arial" w:hAnsi="Arial" w:cs="Arial"/>
                <w:color w:val="000000"/>
                <w:sz w:val="16"/>
                <w:szCs w:val="16"/>
                <w:lang w:val="en-US"/>
              </w:rPr>
            </w:pPr>
            <w:r w:rsidRPr="00C52166">
              <w:rPr>
                <w:rFonts w:ascii="Arial" w:hAnsi="Arial" w:cs="Arial"/>
                <w:sz w:val="16"/>
                <w:szCs w:val="16"/>
              </w:rPr>
              <w:t>8</w:t>
            </w:r>
            <w:r w:rsidR="00395861">
              <w:rPr>
                <w:rFonts w:ascii="Arial" w:hAnsi="Arial" w:cs="Arial"/>
                <w:sz w:val="16"/>
                <w:szCs w:val="16"/>
              </w:rPr>
              <w:t>0,861</w:t>
            </w:r>
            <w:r w:rsidR="00E17858" w:rsidRPr="00C52166">
              <w:rPr>
                <w:rFonts w:ascii="Arial" w:hAnsi="Arial" w:cs="Arial"/>
                <w:sz w:val="16"/>
                <w:szCs w:val="16"/>
              </w:rPr>
              <w:t xml:space="preserve">  </w:t>
            </w:r>
          </w:p>
        </w:tc>
        <w:tc>
          <w:tcPr>
            <w:tcW w:w="1559" w:type="dxa"/>
            <w:tcBorders>
              <w:top w:val="nil"/>
              <w:left w:val="nil"/>
              <w:bottom w:val="nil"/>
              <w:right w:val="single" w:sz="4" w:space="0" w:color="000000"/>
            </w:tcBorders>
            <w:shd w:val="clear" w:color="auto" w:fill="auto"/>
            <w:noWrap/>
            <w:hideMark/>
          </w:tcPr>
          <w:p w14:paraId="3C5C934F" w14:textId="6CDBE331" w:rsidR="00E17858" w:rsidRPr="00C52166" w:rsidRDefault="004C5788" w:rsidP="00E17858">
            <w:pPr>
              <w:jc w:val="right"/>
              <w:rPr>
                <w:rFonts w:ascii="Arial" w:hAnsi="Arial" w:cs="Arial"/>
                <w:b/>
                <w:color w:val="000000"/>
                <w:sz w:val="16"/>
                <w:szCs w:val="16"/>
                <w:lang w:val="en-US"/>
              </w:rPr>
            </w:pPr>
            <w:r w:rsidRPr="00C52166">
              <w:rPr>
                <w:rFonts w:ascii="Arial" w:hAnsi="Arial" w:cs="Arial"/>
                <w:b/>
                <w:sz w:val="16"/>
                <w:szCs w:val="16"/>
              </w:rPr>
              <w:t>17</w:t>
            </w:r>
            <w:r w:rsidR="00395861">
              <w:rPr>
                <w:rFonts w:ascii="Arial" w:hAnsi="Arial" w:cs="Arial"/>
                <w:b/>
                <w:sz w:val="16"/>
                <w:szCs w:val="16"/>
              </w:rPr>
              <w:t>7,073</w:t>
            </w:r>
          </w:p>
        </w:tc>
      </w:tr>
      <w:tr w:rsidR="00E17858" w:rsidRPr="00996036" w14:paraId="069AAF71" w14:textId="77777777" w:rsidTr="00395861">
        <w:trPr>
          <w:trHeight w:val="252"/>
        </w:trPr>
        <w:tc>
          <w:tcPr>
            <w:tcW w:w="4010" w:type="dxa"/>
            <w:tcBorders>
              <w:top w:val="nil"/>
              <w:left w:val="single" w:sz="4" w:space="0" w:color="000000"/>
              <w:bottom w:val="single" w:sz="4" w:space="0" w:color="auto"/>
              <w:right w:val="single" w:sz="4" w:space="0" w:color="000000"/>
            </w:tcBorders>
            <w:shd w:val="clear" w:color="auto" w:fill="auto"/>
            <w:hideMark/>
          </w:tcPr>
          <w:p w14:paraId="060B6AD8" w14:textId="77777777" w:rsidR="00E17858" w:rsidRPr="00C52166" w:rsidRDefault="00E17858" w:rsidP="00E17858">
            <w:pPr>
              <w:rPr>
                <w:rFonts w:ascii="Arial" w:hAnsi="Arial" w:cs="Arial"/>
                <w:sz w:val="16"/>
                <w:szCs w:val="16"/>
                <w:lang w:val="en-US"/>
              </w:rPr>
            </w:pPr>
            <w:r w:rsidRPr="00C52166">
              <w:rPr>
                <w:rFonts w:ascii="Arial" w:hAnsi="Arial" w:cs="Arial"/>
                <w:sz w:val="16"/>
                <w:szCs w:val="16"/>
                <w:lang w:val="en-US"/>
              </w:rPr>
              <w:t>Share-based payments</w:t>
            </w:r>
          </w:p>
        </w:tc>
        <w:tc>
          <w:tcPr>
            <w:tcW w:w="1701" w:type="dxa"/>
            <w:tcBorders>
              <w:top w:val="nil"/>
              <w:left w:val="nil"/>
              <w:bottom w:val="single" w:sz="4" w:space="0" w:color="auto"/>
              <w:right w:val="single" w:sz="4" w:space="0" w:color="000000"/>
            </w:tcBorders>
            <w:shd w:val="clear" w:color="auto" w:fill="auto"/>
            <w:noWrap/>
            <w:hideMark/>
          </w:tcPr>
          <w:p w14:paraId="7F0E9FC8" w14:textId="37C3957B" w:rsidR="00E17858" w:rsidRPr="00C52166" w:rsidRDefault="00E17858" w:rsidP="00E17858">
            <w:pPr>
              <w:jc w:val="right"/>
              <w:rPr>
                <w:rFonts w:ascii="Arial" w:hAnsi="Arial" w:cs="Arial"/>
                <w:color w:val="000000"/>
                <w:sz w:val="16"/>
                <w:szCs w:val="16"/>
                <w:lang w:val="en-US"/>
              </w:rPr>
            </w:pPr>
            <w:r w:rsidRPr="00C52166">
              <w:rPr>
                <w:rFonts w:ascii="Arial" w:hAnsi="Arial" w:cs="Arial"/>
                <w:sz w:val="16"/>
                <w:szCs w:val="16"/>
              </w:rPr>
              <w:t xml:space="preserve"> </w:t>
            </w:r>
            <w:r w:rsidR="000562AF" w:rsidRPr="00C52166">
              <w:rPr>
                <w:rFonts w:ascii="Arial" w:hAnsi="Arial" w:cs="Arial"/>
                <w:sz w:val="16"/>
                <w:szCs w:val="16"/>
              </w:rPr>
              <w:t xml:space="preserve"> </w:t>
            </w:r>
            <w:r w:rsidR="004C5788" w:rsidRPr="00C52166">
              <w:rPr>
                <w:rFonts w:ascii="Arial" w:hAnsi="Arial" w:cs="Arial"/>
                <w:sz w:val="16"/>
                <w:szCs w:val="16"/>
              </w:rPr>
              <w:t>303</w:t>
            </w:r>
            <w:r w:rsidR="000562AF" w:rsidRPr="00C52166">
              <w:rPr>
                <w:rFonts w:ascii="Arial" w:hAnsi="Arial" w:cs="Arial"/>
                <w:sz w:val="16"/>
                <w:szCs w:val="16"/>
              </w:rPr>
              <w:t>,</w:t>
            </w:r>
            <w:r w:rsidR="004C5788" w:rsidRPr="00C52166">
              <w:rPr>
                <w:rFonts w:ascii="Arial" w:hAnsi="Arial" w:cs="Arial"/>
                <w:sz w:val="16"/>
                <w:szCs w:val="16"/>
              </w:rPr>
              <w:t>02</w:t>
            </w:r>
            <w:r w:rsidR="001745AE">
              <w:rPr>
                <w:rFonts w:ascii="Arial" w:hAnsi="Arial" w:cs="Arial"/>
                <w:sz w:val="16"/>
                <w:szCs w:val="16"/>
              </w:rPr>
              <w:t>8</w:t>
            </w:r>
          </w:p>
        </w:tc>
        <w:tc>
          <w:tcPr>
            <w:tcW w:w="1559" w:type="dxa"/>
            <w:tcBorders>
              <w:top w:val="nil"/>
              <w:left w:val="nil"/>
              <w:bottom w:val="single" w:sz="4" w:space="0" w:color="auto"/>
              <w:right w:val="single" w:sz="4" w:space="0" w:color="000000"/>
            </w:tcBorders>
            <w:shd w:val="clear" w:color="auto" w:fill="auto"/>
            <w:hideMark/>
          </w:tcPr>
          <w:p w14:paraId="6F14A826" w14:textId="4F6822ED" w:rsidR="00E17858" w:rsidRPr="00C52166" w:rsidRDefault="004C5788" w:rsidP="00E17858">
            <w:pPr>
              <w:jc w:val="right"/>
              <w:rPr>
                <w:rFonts w:ascii="Arial" w:hAnsi="Arial" w:cs="Arial"/>
                <w:sz w:val="16"/>
                <w:szCs w:val="16"/>
                <w:lang w:val="en-US"/>
              </w:rPr>
            </w:pPr>
            <w:r w:rsidRPr="00C52166">
              <w:rPr>
                <w:rFonts w:ascii="Arial" w:hAnsi="Arial" w:cs="Arial"/>
                <w:sz w:val="16"/>
                <w:szCs w:val="16"/>
              </w:rPr>
              <w:t>35,400</w:t>
            </w:r>
            <w:r w:rsidR="00E17858" w:rsidRPr="00C52166">
              <w:rPr>
                <w:rFonts w:ascii="Arial" w:hAnsi="Arial" w:cs="Arial"/>
                <w:sz w:val="16"/>
                <w:szCs w:val="16"/>
              </w:rPr>
              <w:t xml:space="preserve">   </w:t>
            </w:r>
          </w:p>
        </w:tc>
        <w:tc>
          <w:tcPr>
            <w:tcW w:w="1559" w:type="dxa"/>
            <w:tcBorders>
              <w:top w:val="nil"/>
              <w:left w:val="nil"/>
              <w:bottom w:val="single" w:sz="4" w:space="0" w:color="auto"/>
              <w:right w:val="single" w:sz="4" w:space="0" w:color="000000"/>
            </w:tcBorders>
            <w:shd w:val="clear" w:color="auto" w:fill="auto"/>
            <w:hideMark/>
          </w:tcPr>
          <w:p w14:paraId="0683BA9C" w14:textId="654A6AF2" w:rsidR="00E17858" w:rsidRPr="00C52166" w:rsidRDefault="00E17858" w:rsidP="00E17858">
            <w:pPr>
              <w:jc w:val="right"/>
              <w:rPr>
                <w:rFonts w:ascii="Arial" w:hAnsi="Arial" w:cs="Arial"/>
                <w:b/>
                <w:sz w:val="16"/>
                <w:szCs w:val="16"/>
                <w:lang w:val="en-US"/>
              </w:rPr>
            </w:pPr>
            <w:r w:rsidRPr="00C52166">
              <w:rPr>
                <w:rFonts w:ascii="Arial" w:hAnsi="Arial" w:cs="Arial"/>
                <w:b/>
                <w:sz w:val="16"/>
                <w:szCs w:val="16"/>
              </w:rPr>
              <w:t xml:space="preserve"> </w:t>
            </w:r>
            <w:r w:rsidR="000562AF" w:rsidRPr="00C52166">
              <w:rPr>
                <w:rFonts w:ascii="Arial" w:hAnsi="Arial" w:cs="Arial"/>
                <w:b/>
                <w:sz w:val="16"/>
                <w:szCs w:val="16"/>
              </w:rPr>
              <w:t xml:space="preserve"> </w:t>
            </w:r>
            <w:r w:rsidR="004C5788" w:rsidRPr="00C52166">
              <w:rPr>
                <w:rFonts w:ascii="Arial" w:hAnsi="Arial" w:cs="Arial"/>
                <w:b/>
                <w:sz w:val="16"/>
                <w:szCs w:val="16"/>
              </w:rPr>
              <w:t>338</w:t>
            </w:r>
            <w:r w:rsidR="000562AF" w:rsidRPr="00C52166">
              <w:rPr>
                <w:rFonts w:ascii="Arial" w:hAnsi="Arial" w:cs="Arial"/>
                <w:b/>
                <w:sz w:val="16"/>
                <w:szCs w:val="16"/>
              </w:rPr>
              <w:t>,</w:t>
            </w:r>
            <w:r w:rsidR="004C5788" w:rsidRPr="00C52166">
              <w:rPr>
                <w:rFonts w:ascii="Arial" w:hAnsi="Arial" w:cs="Arial"/>
                <w:b/>
                <w:sz w:val="16"/>
                <w:szCs w:val="16"/>
              </w:rPr>
              <w:t>42</w:t>
            </w:r>
            <w:r w:rsidR="001745AE">
              <w:rPr>
                <w:rFonts w:ascii="Arial" w:hAnsi="Arial" w:cs="Arial"/>
                <w:b/>
                <w:sz w:val="16"/>
                <w:szCs w:val="16"/>
              </w:rPr>
              <w:t>8</w:t>
            </w:r>
          </w:p>
        </w:tc>
      </w:tr>
      <w:tr w:rsidR="00E17858" w:rsidRPr="00E91EDA" w14:paraId="76464C1B" w14:textId="77777777" w:rsidTr="00395861">
        <w:trPr>
          <w:trHeight w:val="252"/>
        </w:trPr>
        <w:tc>
          <w:tcPr>
            <w:tcW w:w="4010" w:type="dxa"/>
            <w:tcBorders>
              <w:top w:val="single" w:sz="4" w:space="0" w:color="auto"/>
              <w:left w:val="single" w:sz="4" w:space="0" w:color="000000"/>
              <w:bottom w:val="single" w:sz="4" w:space="0" w:color="000000"/>
              <w:right w:val="single" w:sz="4" w:space="0" w:color="000000"/>
            </w:tcBorders>
            <w:shd w:val="clear" w:color="auto" w:fill="auto"/>
            <w:hideMark/>
          </w:tcPr>
          <w:p w14:paraId="33038550" w14:textId="77777777" w:rsidR="00E17858" w:rsidRPr="00C52166" w:rsidRDefault="00E17858" w:rsidP="00E17858">
            <w:pPr>
              <w:rPr>
                <w:rFonts w:ascii="Arial" w:hAnsi="Arial" w:cs="Arial"/>
                <w:b/>
                <w:bCs/>
                <w:sz w:val="16"/>
                <w:szCs w:val="16"/>
                <w:lang w:val="en-US"/>
              </w:rPr>
            </w:pPr>
            <w:r w:rsidRPr="00C52166">
              <w:rPr>
                <w:rFonts w:ascii="Arial" w:hAnsi="Arial" w:cs="Arial"/>
                <w:b/>
                <w:bCs/>
                <w:sz w:val="16"/>
                <w:szCs w:val="16"/>
                <w:lang w:val="en-US"/>
              </w:rPr>
              <w:t>Total</w:t>
            </w:r>
          </w:p>
        </w:tc>
        <w:tc>
          <w:tcPr>
            <w:tcW w:w="1701" w:type="dxa"/>
            <w:tcBorders>
              <w:top w:val="single" w:sz="4" w:space="0" w:color="auto"/>
              <w:left w:val="nil"/>
              <w:bottom w:val="single" w:sz="4" w:space="0" w:color="000000"/>
              <w:right w:val="single" w:sz="4" w:space="0" w:color="000000"/>
            </w:tcBorders>
            <w:shd w:val="clear" w:color="auto" w:fill="auto"/>
            <w:noWrap/>
            <w:hideMark/>
          </w:tcPr>
          <w:p w14:paraId="291E225C" w14:textId="37ED1E25" w:rsidR="00E17858" w:rsidRPr="00C52166" w:rsidRDefault="00E17858" w:rsidP="00E17858">
            <w:pPr>
              <w:jc w:val="right"/>
              <w:rPr>
                <w:rFonts w:ascii="Arial" w:hAnsi="Arial" w:cs="Arial"/>
                <w:b/>
                <w:bCs/>
                <w:color w:val="000000"/>
                <w:sz w:val="16"/>
                <w:szCs w:val="16"/>
                <w:lang w:val="en-US"/>
              </w:rPr>
            </w:pPr>
            <w:r w:rsidRPr="00C52166">
              <w:rPr>
                <w:rFonts w:ascii="Arial" w:hAnsi="Arial" w:cs="Arial"/>
                <w:b/>
                <w:bCs/>
                <w:color w:val="000000"/>
                <w:sz w:val="16"/>
                <w:szCs w:val="16"/>
              </w:rPr>
              <w:t xml:space="preserve"> </w:t>
            </w:r>
            <w:r w:rsidR="00005120" w:rsidRPr="00C52166">
              <w:rPr>
                <w:rFonts w:ascii="Arial" w:hAnsi="Arial" w:cs="Arial"/>
                <w:b/>
                <w:bCs/>
                <w:color w:val="000000"/>
                <w:sz w:val="16"/>
                <w:szCs w:val="16"/>
              </w:rPr>
              <w:t xml:space="preserve"> </w:t>
            </w:r>
            <w:r w:rsidR="004C5788" w:rsidRPr="00C52166">
              <w:rPr>
                <w:rFonts w:ascii="Arial" w:hAnsi="Arial" w:cs="Arial"/>
                <w:b/>
                <w:bCs/>
                <w:color w:val="000000"/>
                <w:sz w:val="16"/>
                <w:szCs w:val="16"/>
              </w:rPr>
              <w:t>1</w:t>
            </w:r>
            <w:r w:rsidR="00005120" w:rsidRPr="00C52166">
              <w:rPr>
                <w:rFonts w:ascii="Arial" w:hAnsi="Arial" w:cs="Arial"/>
                <w:b/>
                <w:bCs/>
                <w:color w:val="000000"/>
                <w:sz w:val="16"/>
                <w:szCs w:val="16"/>
              </w:rPr>
              <w:t>,</w:t>
            </w:r>
            <w:r w:rsidR="0027185C">
              <w:rPr>
                <w:rFonts w:ascii="Arial" w:hAnsi="Arial" w:cs="Arial"/>
                <w:b/>
                <w:bCs/>
                <w:color w:val="000000"/>
                <w:sz w:val="16"/>
                <w:szCs w:val="16"/>
              </w:rPr>
              <w:t>40</w:t>
            </w:r>
            <w:r w:rsidR="004C5788" w:rsidRPr="00C52166">
              <w:rPr>
                <w:rFonts w:ascii="Arial" w:hAnsi="Arial" w:cs="Arial"/>
                <w:b/>
                <w:bCs/>
                <w:color w:val="000000"/>
                <w:sz w:val="16"/>
                <w:szCs w:val="16"/>
              </w:rPr>
              <w:t>9</w:t>
            </w:r>
            <w:r w:rsidR="00005120" w:rsidRPr="00C52166">
              <w:rPr>
                <w:rFonts w:ascii="Arial" w:hAnsi="Arial" w:cs="Arial"/>
                <w:b/>
                <w:bCs/>
                <w:color w:val="000000"/>
                <w:sz w:val="16"/>
                <w:szCs w:val="16"/>
              </w:rPr>
              <w:t>,</w:t>
            </w:r>
            <w:r w:rsidR="00395861">
              <w:rPr>
                <w:rFonts w:ascii="Arial" w:hAnsi="Arial" w:cs="Arial"/>
                <w:b/>
                <w:bCs/>
                <w:color w:val="000000"/>
                <w:sz w:val="16"/>
                <w:szCs w:val="16"/>
              </w:rPr>
              <w:t>119</w:t>
            </w:r>
          </w:p>
        </w:tc>
        <w:tc>
          <w:tcPr>
            <w:tcW w:w="1559" w:type="dxa"/>
            <w:tcBorders>
              <w:top w:val="single" w:sz="4" w:space="0" w:color="auto"/>
              <w:left w:val="nil"/>
              <w:bottom w:val="single" w:sz="4" w:space="0" w:color="000000"/>
              <w:right w:val="single" w:sz="4" w:space="0" w:color="000000"/>
            </w:tcBorders>
            <w:shd w:val="clear" w:color="auto" w:fill="auto"/>
            <w:noWrap/>
            <w:hideMark/>
          </w:tcPr>
          <w:p w14:paraId="0418E42A" w14:textId="40706818" w:rsidR="00E17858" w:rsidRPr="00C52166" w:rsidRDefault="00005120" w:rsidP="00E17858">
            <w:pPr>
              <w:jc w:val="right"/>
              <w:rPr>
                <w:rFonts w:ascii="Arial" w:hAnsi="Arial" w:cs="Arial"/>
                <w:b/>
                <w:bCs/>
                <w:color w:val="000000"/>
                <w:sz w:val="16"/>
                <w:szCs w:val="16"/>
                <w:lang w:val="en-US"/>
              </w:rPr>
            </w:pPr>
            <w:r w:rsidRPr="00C52166">
              <w:rPr>
                <w:rFonts w:ascii="Arial" w:hAnsi="Arial" w:cs="Arial"/>
                <w:b/>
                <w:bCs/>
                <w:color w:val="000000"/>
                <w:sz w:val="16"/>
                <w:szCs w:val="16"/>
              </w:rPr>
              <w:t>1,</w:t>
            </w:r>
            <w:r w:rsidR="00C50E56">
              <w:rPr>
                <w:rFonts w:ascii="Arial" w:hAnsi="Arial" w:cs="Arial"/>
                <w:b/>
                <w:bCs/>
                <w:color w:val="000000"/>
                <w:sz w:val="16"/>
                <w:szCs w:val="16"/>
              </w:rPr>
              <w:t>446,102</w:t>
            </w:r>
          </w:p>
        </w:tc>
        <w:tc>
          <w:tcPr>
            <w:tcW w:w="1559" w:type="dxa"/>
            <w:tcBorders>
              <w:top w:val="single" w:sz="4" w:space="0" w:color="auto"/>
              <w:left w:val="nil"/>
              <w:bottom w:val="single" w:sz="4" w:space="0" w:color="000000"/>
              <w:right w:val="single" w:sz="4" w:space="0" w:color="000000"/>
            </w:tcBorders>
            <w:shd w:val="clear" w:color="auto" w:fill="auto"/>
            <w:noWrap/>
            <w:hideMark/>
          </w:tcPr>
          <w:p w14:paraId="49F5D056" w14:textId="61B9E3DB" w:rsidR="00E17858" w:rsidRPr="00C52166" w:rsidRDefault="00E17858" w:rsidP="00E17858">
            <w:pPr>
              <w:jc w:val="right"/>
              <w:rPr>
                <w:rFonts w:ascii="Arial" w:hAnsi="Arial" w:cs="Arial"/>
                <w:b/>
                <w:bCs/>
                <w:color w:val="000000"/>
                <w:sz w:val="16"/>
                <w:szCs w:val="16"/>
                <w:lang w:val="en-US"/>
              </w:rPr>
            </w:pPr>
            <w:r w:rsidRPr="00C52166">
              <w:rPr>
                <w:rFonts w:ascii="Arial" w:hAnsi="Arial" w:cs="Arial"/>
                <w:b/>
                <w:bCs/>
                <w:color w:val="000000"/>
                <w:sz w:val="16"/>
                <w:szCs w:val="16"/>
              </w:rPr>
              <w:t xml:space="preserve"> </w:t>
            </w:r>
            <w:r w:rsidR="00005120" w:rsidRPr="00C52166">
              <w:rPr>
                <w:rFonts w:ascii="Arial" w:hAnsi="Arial" w:cs="Arial"/>
                <w:b/>
                <w:bCs/>
                <w:color w:val="000000"/>
                <w:sz w:val="16"/>
                <w:szCs w:val="16"/>
              </w:rPr>
              <w:t xml:space="preserve"> </w:t>
            </w:r>
            <w:r w:rsidR="004C5788" w:rsidRPr="00C52166">
              <w:rPr>
                <w:rFonts w:ascii="Arial" w:hAnsi="Arial" w:cs="Arial"/>
                <w:b/>
                <w:bCs/>
                <w:color w:val="000000"/>
                <w:sz w:val="16"/>
                <w:szCs w:val="16"/>
              </w:rPr>
              <w:t>2</w:t>
            </w:r>
            <w:r w:rsidR="00005120" w:rsidRPr="00C52166">
              <w:rPr>
                <w:rFonts w:ascii="Arial" w:hAnsi="Arial" w:cs="Arial"/>
                <w:b/>
                <w:bCs/>
                <w:color w:val="000000"/>
                <w:sz w:val="16"/>
                <w:szCs w:val="16"/>
              </w:rPr>
              <w:t>,</w:t>
            </w:r>
            <w:r w:rsidR="00C50E56">
              <w:rPr>
                <w:rFonts w:ascii="Arial" w:hAnsi="Arial" w:cs="Arial"/>
                <w:b/>
                <w:bCs/>
                <w:color w:val="000000"/>
                <w:sz w:val="16"/>
                <w:szCs w:val="16"/>
              </w:rPr>
              <w:t>8</w:t>
            </w:r>
            <w:r w:rsidR="0027185C">
              <w:rPr>
                <w:rFonts w:ascii="Arial" w:hAnsi="Arial" w:cs="Arial"/>
                <w:b/>
                <w:bCs/>
                <w:color w:val="000000"/>
                <w:sz w:val="16"/>
                <w:szCs w:val="16"/>
              </w:rPr>
              <w:t>5</w:t>
            </w:r>
            <w:r w:rsidR="00C50E56">
              <w:rPr>
                <w:rFonts w:ascii="Arial" w:hAnsi="Arial" w:cs="Arial"/>
                <w:b/>
                <w:bCs/>
                <w:color w:val="000000"/>
                <w:sz w:val="16"/>
                <w:szCs w:val="16"/>
              </w:rPr>
              <w:t>5,221</w:t>
            </w:r>
          </w:p>
        </w:tc>
      </w:tr>
      <w:tr w:rsidR="00B0421E" w:rsidRPr="00996036" w14:paraId="0FE3001C" w14:textId="77777777" w:rsidTr="00EC657D">
        <w:trPr>
          <w:trHeight w:val="252"/>
        </w:trPr>
        <w:tc>
          <w:tcPr>
            <w:tcW w:w="4010" w:type="dxa"/>
            <w:tcBorders>
              <w:top w:val="nil"/>
              <w:left w:val="single" w:sz="4" w:space="0" w:color="000000"/>
              <w:bottom w:val="single" w:sz="4" w:space="0" w:color="000000"/>
              <w:right w:val="single" w:sz="4" w:space="0" w:color="000000"/>
            </w:tcBorders>
            <w:shd w:val="clear" w:color="auto" w:fill="auto"/>
            <w:hideMark/>
          </w:tcPr>
          <w:p w14:paraId="01E291FC" w14:textId="77777777" w:rsidR="00B0421E" w:rsidRPr="00C52166" w:rsidRDefault="00B0421E" w:rsidP="00B0421E">
            <w:pPr>
              <w:rPr>
                <w:rFonts w:ascii="Arial" w:hAnsi="Arial" w:cs="Arial"/>
                <w:sz w:val="16"/>
                <w:szCs w:val="16"/>
                <w:lang w:val="en-US"/>
              </w:rPr>
            </w:pPr>
            <w:r w:rsidRPr="00C52166">
              <w:rPr>
                <w:rFonts w:ascii="Arial" w:hAnsi="Arial" w:cs="Arial"/>
                <w:sz w:val="16"/>
                <w:szCs w:val="16"/>
                <w:lang w:val="en-US"/>
              </w:rPr>
              <w:t>Other items</w:t>
            </w:r>
          </w:p>
        </w:tc>
        <w:tc>
          <w:tcPr>
            <w:tcW w:w="1701" w:type="dxa"/>
            <w:tcBorders>
              <w:top w:val="nil"/>
              <w:left w:val="nil"/>
              <w:bottom w:val="single" w:sz="4" w:space="0" w:color="000000"/>
              <w:right w:val="single" w:sz="4" w:space="0" w:color="000000"/>
            </w:tcBorders>
            <w:shd w:val="clear" w:color="auto" w:fill="auto"/>
            <w:noWrap/>
            <w:hideMark/>
          </w:tcPr>
          <w:p w14:paraId="6C0732DB" w14:textId="387FB368" w:rsidR="00B0421E" w:rsidRPr="00C52166" w:rsidRDefault="00B0421E" w:rsidP="00B0421E">
            <w:pPr>
              <w:jc w:val="right"/>
              <w:rPr>
                <w:rFonts w:ascii="Arial" w:hAnsi="Arial" w:cs="Arial"/>
                <w:color w:val="000000"/>
                <w:sz w:val="16"/>
                <w:szCs w:val="16"/>
                <w:lang w:val="en-US"/>
              </w:rPr>
            </w:pPr>
            <w:r w:rsidRPr="00C52166">
              <w:rPr>
                <w:rFonts w:ascii="Arial" w:hAnsi="Arial" w:cs="Arial"/>
                <w:color w:val="000000"/>
                <w:sz w:val="16"/>
                <w:szCs w:val="16"/>
              </w:rPr>
              <w:t xml:space="preserve"> </w:t>
            </w:r>
            <w:r w:rsidR="004C5788" w:rsidRPr="00C52166">
              <w:rPr>
                <w:rFonts w:ascii="Arial" w:hAnsi="Arial" w:cs="Arial"/>
                <w:color w:val="000000"/>
                <w:sz w:val="16"/>
                <w:szCs w:val="16"/>
              </w:rPr>
              <w:t>48</w:t>
            </w:r>
            <w:r w:rsidRPr="00C52166">
              <w:rPr>
                <w:rFonts w:ascii="Arial" w:hAnsi="Arial" w:cs="Arial"/>
                <w:color w:val="000000"/>
                <w:sz w:val="16"/>
                <w:szCs w:val="16"/>
              </w:rPr>
              <w:t>,</w:t>
            </w:r>
            <w:r w:rsidR="00395861">
              <w:rPr>
                <w:rFonts w:ascii="Arial" w:hAnsi="Arial" w:cs="Arial"/>
                <w:color w:val="000000"/>
                <w:sz w:val="16"/>
                <w:szCs w:val="16"/>
              </w:rPr>
              <w:t>729</w:t>
            </w:r>
            <w:r w:rsidRPr="00C52166">
              <w:rPr>
                <w:rFonts w:ascii="Arial" w:hAnsi="Arial" w:cs="Arial"/>
                <w:color w:val="000000"/>
                <w:sz w:val="16"/>
                <w:szCs w:val="16"/>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6B36F23F" w14:textId="4123A557" w:rsidR="00B0421E" w:rsidRPr="00C52166" w:rsidRDefault="00B0421E" w:rsidP="00B0421E">
            <w:pPr>
              <w:jc w:val="right"/>
              <w:rPr>
                <w:rFonts w:ascii="Arial" w:hAnsi="Arial" w:cs="Arial"/>
                <w:color w:val="000000"/>
                <w:sz w:val="16"/>
                <w:szCs w:val="16"/>
                <w:lang w:val="en-US"/>
              </w:rPr>
            </w:pPr>
            <w:r w:rsidRPr="00C52166">
              <w:rPr>
                <w:rFonts w:ascii="Arial" w:hAnsi="Arial" w:cs="Arial"/>
                <w:color w:val="000000"/>
                <w:sz w:val="16"/>
                <w:szCs w:val="16"/>
              </w:rPr>
              <w:t xml:space="preserve"> </w:t>
            </w:r>
            <w:r w:rsidR="004C5788" w:rsidRPr="00C52166">
              <w:rPr>
                <w:rFonts w:ascii="Arial" w:hAnsi="Arial" w:cs="Arial"/>
                <w:color w:val="000000"/>
                <w:sz w:val="16"/>
                <w:szCs w:val="16"/>
              </w:rPr>
              <w:t>288</w:t>
            </w:r>
            <w:r w:rsidRPr="00C52166">
              <w:rPr>
                <w:rFonts w:ascii="Arial" w:hAnsi="Arial" w:cs="Arial"/>
                <w:color w:val="000000"/>
                <w:sz w:val="16"/>
                <w:szCs w:val="16"/>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35F84104" w14:textId="5CA36FBB" w:rsidR="00B0421E" w:rsidRPr="00BD20E0" w:rsidRDefault="004C5788" w:rsidP="00B0421E">
            <w:pPr>
              <w:jc w:val="right"/>
              <w:rPr>
                <w:rFonts w:ascii="Arial" w:hAnsi="Arial" w:cs="Arial"/>
                <w:b/>
                <w:bCs/>
                <w:color w:val="000000"/>
                <w:sz w:val="16"/>
                <w:szCs w:val="16"/>
                <w:lang w:val="en-US"/>
              </w:rPr>
            </w:pPr>
            <w:r w:rsidRPr="00BD20E0">
              <w:rPr>
                <w:rFonts w:ascii="Arial" w:hAnsi="Arial" w:cs="Arial"/>
                <w:b/>
                <w:bCs/>
                <w:color w:val="000000"/>
                <w:sz w:val="16"/>
                <w:szCs w:val="16"/>
              </w:rPr>
              <w:t>49,</w:t>
            </w:r>
            <w:r w:rsidR="00395861" w:rsidRPr="00BD20E0">
              <w:rPr>
                <w:rFonts w:ascii="Arial" w:hAnsi="Arial" w:cs="Arial"/>
                <w:b/>
                <w:bCs/>
                <w:color w:val="000000"/>
                <w:sz w:val="16"/>
                <w:szCs w:val="16"/>
              </w:rPr>
              <w:t>017</w:t>
            </w:r>
          </w:p>
        </w:tc>
      </w:tr>
      <w:tr w:rsidR="00CA597A" w:rsidRPr="00E91EDA" w14:paraId="5A3AAAA5" w14:textId="77777777" w:rsidTr="00EC657D">
        <w:trPr>
          <w:trHeight w:val="252"/>
        </w:trPr>
        <w:tc>
          <w:tcPr>
            <w:tcW w:w="4010" w:type="dxa"/>
            <w:tcBorders>
              <w:top w:val="nil"/>
              <w:left w:val="single" w:sz="4" w:space="0" w:color="000000"/>
              <w:bottom w:val="single" w:sz="4" w:space="0" w:color="000000"/>
              <w:right w:val="single" w:sz="4" w:space="0" w:color="000000"/>
            </w:tcBorders>
            <w:shd w:val="clear" w:color="auto" w:fill="auto"/>
            <w:hideMark/>
          </w:tcPr>
          <w:p w14:paraId="1287FADB" w14:textId="372995F9" w:rsidR="00CA597A" w:rsidRPr="00C52166" w:rsidRDefault="00CA597A" w:rsidP="00CA597A">
            <w:pPr>
              <w:rPr>
                <w:rFonts w:ascii="Arial" w:hAnsi="Arial" w:cs="Arial"/>
                <w:b/>
                <w:bCs/>
                <w:sz w:val="16"/>
                <w:szCs w:val="16"/>
                <w:lang w:val="en-US"/>
              </w:rPr>
            </w:pPr>
            <w:r w:rsidRPr="00C52166">
              <w:rPr>
                <w:rFonts w:ascii="Arial" w:hAnsi="Arial" w:cs="Arial"/>
                <w:b/>
                <w:bCs/>
                <w:sz w:val="16"/>
                <w:szCs w:val="16"/>
                <w:lang w:val="en-US"/>
              </w:rPr>
              <w:t xml:space="preserve"> Loss for the year</w:t>
            </w:r>
          </w:p>
        </w:tc>
        <w:tc>
          <w:tcPr>
            <w:tcW w:w="1701" w:type="dxa"/>
            <w:tcBorders>
              <w:top w:val="nil"/>
              <w:left w:val="nil"/>
              <w:bottom w:val="single" w:sz="4" w:space="0" w:color="000000"/>
              <w:right w:val="single" w:sz="4" w:space="0" w:color="000000"/>
            </w:tcBorders>
            <w:shd w:val="clear" w:color="auto" w:fill="auto"/>
            <w:noWrap/>
            <w:hideMark/>
          </w:tcPr>
          <w:p w14:paraId="05AF5E62" w14:textId="1EAA44EA" w:rsidR="00CA597A" w:rsidRPr="00C52166" w:rsidRDefault="004C5788" w:rsidP="00CA597A">
            <w:pPr>
              <w:jc w:val="right"/>
              <w:rPr>
                <w:rFonts w:ascii="Arial" w:hAnsi="Arial" w:cs="Arial"/>
                <w:b/>
                <w:bCs/>
                <w:color w:val="000000"/>
                <w:sz w:val="16"/>
                <w:szCs w:val="16"/>
                <w:lang w:val="en-US"/>
              </w:rPr>
            </w:pPr>
            <w:r w:rsidRPr="00C52166">
              <w:rPr>
                <w:rFonts w:ascii="Arial" w:hAnsi="Arial" w:cs="Arial"/>
                <w:b/>
                <w:bCs/>
                <w:color w:val="000000"/>
                <w:sz w:val="16"/>
                <w:szCs w:val="16"/>
              </w:rPr>
              <w:t>(1,3</w:t>
            </w:r>
            <w:r w:rsidR="0027185C">
              <w:rPr>
                <w:rFonts w:ascii="Arial" w:hAnsi="Arial" w:cs="Arial"/>
                <w:b/>
                <w:bCs/>
                <w:color w:val="000000"/>
                <w:sz w:val="16"/>
                <w:szCs w:val="16"/>
              </w:rPr>
              <w:t>6</w:t>
            </w:r>
            <w:r w:rsidRPr="00C52166">
              <w:rPr>
                <w:rFonts w:ascii="Arial" w:hAnsi="Arial" w:cs="Arial"/>
                <w:b/>
                <w:bCs/>
                <w:color w:val="000000"/>
                <w:sz w:val="16"/>
                <w:szCs w:val="16"/>
              </w:rPr>
              <w:t>0,390)</w:t>
            </w:r>
          </w:p>
        </w:tc>
        <w:tc>
          <w:tcPr>
            <w:tcW w:w="1559" w:type="dxa"/>
            <w:tcBorders>
              <w:top w:val="nil"/>
              <w:left w:val="nil"/>
              <w:bottom w:val="single" w:sz="4" w:space="0" w:color="000000"/>
              <w:right w:val="single" w:sz="4" w:space="0" w:color="000000"/>
            </w:tcBorders>
            <w:shd w:val="clear" w:color="auto" w:fill="auto"/>
            <w:noWrap/>
            <w:hideMark/>
          </w:tcPr>
          <w:p w14:paraId="33C47945" w14:textId="62AB5231" w:rsidR="00CA597A" w:rsidRPr="00C52166" w:rsidRDefault="00CA597A" w:rsidP="00CA597A">
            <w:pPr>
              <w:jc w:val="right"/>
              <w:rPr>
                <w:rFonts w:ascii="Arial" w:hAnsi="Arial" w:cs="Arial"/>
                <w:b/>
                <w:bCs/>
                <w:color w:val="000000"/>
                <w:sz w:val="16"/>
                <w:szCs w:val="16"/>
                <w:lang w:val="en-US"/>
              </w:rPr>
            </w:pPr>
            <w:r w:rsidRPr="00C52166">
              <w:rPr>
                <w:rFonts w:ascii="Arial" w:hAnsi="Arial" w:cs="Arial"/>
                <w:b/>
                <w:bCs/>
                <w:color w:val="000000"/>
                <w:sz w:val="16"/>
                <w:szCs w:val="16"/>
              </w:rPr>
              <w:t xml:space="preserve"> (</w:t>
            </w:r>
            <w:r w:rsidR="004C5788" w:rsidRPr="00C52166">
              <w:rPr>
                <w:rFonts w:ascii="Arial" w:hAnsi="Arial" w:cs="Arial"/>
                <w:b/>
                <w:bCs/>
                <w:color w:val="000000"/>
                <w:sz w:val="16"/>
                <w:szCs w:val="16"/>
              </w:rPr>
              <w:t>1,</w:t>
            </w:r>
            <w:r w:rsidR="00C50E56">
              <w:rPr>
                <w:rFonts w:ascii="Arial" w:hAnsi="Arial" w:cs="Arial"/>
                <w:b/>
                <w:bCs/>
                <w:color w:val="000000"/>
                <w:sz w:val="16"/>
                <w:szCs w:val="16"/>
              </w:rPr>
              <w:t>445,814</w:t>
            </w:r>
            <w:r w:rsidRPr="00C52166">
              <w:rPr>
                <w:rFonts w:ascii="Arial" w:hAnsi="Arial" w:cs="Arial"/>
                <w:b/>
                <w:bCs/>
                <w:color w:val="000000"/>
                <w:sz w:val="16"/>
                <w:szCs w:val="16"/>
              </w:rPr>
              <w:t>)</w:t>
            </w:r>
          </w:p>
        </w:tc>
        <w:tc>
          <w:tcPr>
            <w:tcW w:w="1559" w:type="dxa"/>
            <w:tcBorders>
              <w:top w:val="nil"/>
              <w:left w:val="nil"/>
              <w:bottom w:val="single" w:sz="4" w:space="0" w:color="000000"/>
              <w:right w:val="single" w:sz="4" w:space="0" w:color="000000"/>
            </w:tcBorders>
            <w:shd w:val="clear" w:color="auto" w:fill="auto"/>
            <w:noWrap/>
            <w:hideMark/>
          </w:tcPr>
          <w:p w14:paraId="136D113A" w14:textId="1792C0BF" w:rsidR="00CA597A" w:rsidRPr="00C52166" w:rsidRDefault="00005120" w:rsidP="00CA597A">
            <w:pPr>
              <w:jc w:val="right"/>
              <w:rPr>
                <w:rFonts w:ascii="Arial" w:hAnsi="Arial" w:cs="Arial"/>
                <w:b/>
                <w:bCs/>
                <w:color w:val="000000"/>
                <w:sz w:val="16"/>
                <w:szCs w:val="16"/>
                <w:lang w:val="en-US"/>
              </w:rPr>
            </w:pPr>
            <w:r w:rsidRPr="00C52166">
              <w:rPr>
                <w:rFonts w:ascii="Arial" w:hAnsi="Arial" w:cs="Arial"/>
                <w:b/>
                <w:bCs/>
                <w:color w:val="000000"/>
                <w:sz w:val="16"/>
                <w:szCs w:val="16"/>
              </w:rPr>
              <w:t>(2,</w:t>
            </w:r>
            <w:r w:rsidR="0027185C">
              <w:rPr>
                <w:rFonts w:ascii="Arial" w:hAnsi="Arial" w:cs="Arial"/>
                <w:b/>
                <w:bCs/>
                <w:color w:val="000000"/>
                <w:sz w:val="16"/>
                <w:szCs w:val="16"/>
              </w:rPr>
              <w:t>80</w:t>
            </w:r>
            <w:r w:rsidR="00C50E56">
              <w:rPr>
                <w:rFonts w:ascii="Arial" w:hAnsi="Arial" w:cs="Arial"/>
                <w:b/>
                <w:bCs/>
                <w:color w:val="000000"/>
                <w:sz w:val="16"/>
                <w:szCs w:val="16"/>
              </w:rPr>
              <w:t>6,204</w:t>
            </w:r>
            <w:r w:rsidRPr="00C52166">
              <w:rPr>
                <w:rFonts w:ascii="Arial" w:hAnsi="Arial" w:cs="Arial"/>
                <w:b/>
                <w:bCs/>
                <w:color w:val="000000"/>
                <w:sz w:val="16"/>
                <w:szCs w:val="16"/>
              </w:rPr>
              <w:t>)</w:t>
            </w:r>
          </w:p>
        </w:tc>
      </w:tr>
    </w:tbl>
    <w:p w14:paraId="05164903" w14:textId="77777777" w:rsidR="001D03BB" w:rsidRPr="00F56223" w:rsidRDefault="001D03BB" w:rsidP="007B2708">
      <w:pPr>
        <w:pStyle w:val="BodyText"/>
        <w:ind w:right="776"/>
        <w:jc w:val="both"/>
        <w:rPr>
          <w:rFonts w:ascii="Arial" w:hAnsi="Arial" w:cs="Arial"/>
          <w:bCs/>
        </w:rPr>
      </w:pPr>
    </w:p>
    <w:tbl>
      <w:tblPr>
        <w:tblW w:w="8829" w:type="dxa"/>
        <w:tblInd w:w="810" w:type="dxa"/>
        <w:tblLook w:val="04A0" w:firstRow="1" w:lastRow="0" w:firstColumn="1" w:lastColumn="0" w:noHBand="0" w:noVBand="1"/>
      </w:tblPr>
      <w:tblGrid>
        <w:gridCol w:w="4010"/>
        <w:gridCol w:w="1701"/>
        <w:gridCol w:w="1559"/>
        <w:gridCol w:w="1559"/>
      </w:tblGrid>
      <w:tr w:rsidR="00607E1A" w:rsidRPr="00996036" w14:paraId="5E808AE5" w14:textId="77777777" w:rsidTr="00C24B7A">
        <w:trPr>
          <w:trHeight w:val="340"/>
        </w:trPr>
        <w:tc>
          <w:tcPr>
            <w:tcW w:w="8829" w:type="dxa"/>
            <w:gridSpan w:val="4"/>
            <w:tcBorders>
              <w:top w:val="nil"/>
              <w:left w:val="nil"/>
              <w:bottom w:val="nil"/>
              <w:right w:val="nil"/>
            </w:tcBorders>
            <w:shd w:val="clear" w:color="auto" w:fill="auto"/>
            <w:hideMark/>
          </w:tcPr>
          <w:p w14:paraId="2C5F4902" w14:textId="2796F0C1" w:rsidR="00607E1A" w:rsidRPr="00AE096B" w:rsidRDefault="00607E1A" w:rsidP="0097553A">
            <w:pPr>
              <w:jc w:val="center"/>
              <w:rPr>
                <w:rFonts w:ascii="Arial" w:hAnsi="Arial" w:cs="Arial"/>
                <w:b/>
                <w:bCs/>
                <w:sz w:val="16"/>
                <w:szCs w:val="16"/>
                <w:u w:val="single"/>
                <w:lang w:val="en-US"/>
              </w:rPr>
            </w:pPr>
            <w:r w:rsidRPr="00AE096B">
              <w:rPr>
                <w:rFonts w:ascii="Arial" w:hAnsi="Arial" w:cs="Arial"/>
                <w:b/>
                <w:bCs/>
                <w:sz w:val="16"/>
                <w:szCs w:val="16"/>
                <w:u w:val="single"/>
                <w:lang w:val="en-US"/>
              </w:rPr>
              <w:t>For the year ended December 31, 2022</w:t>
            </w:r>
          </w:p>
        </w:tc>
      </w:tr>
      <w:tr w:rsidR="00607E1A" w:rsidRPr="00996036" w14:paraId="77DD5308" w14:textId="77777777" w:rsidTr="00C24B7A">
        <w:trPr>
          <w:trHeight w:val="170"/>
        </w:trPr>
        <w:tc>
          <w:tcPr>
            <w:tcW w:w="4010" w:type="dxa"/>
            <w:tcBorders>
              <w:top w:val="nil"/>
              <w:left w:val="nil"/>
              <w:bottom w:val="nil"/>
              <w:right w:val="nil"/>
            </w:tcBorders>
            <w:shd w:val="clear" w:color="auto" w:fill="auto"/>
            <w:noWrap/>
            <w:hideMark/>
          </w:tcPr>
          <w:p w14:paraId="045D63BD" w14:textId="77777777" w:rsidR="00607E1A" w:rsidRPr="00996036" w:rsidRDefault="00607E1A" w:rsidP="0097553A">
            <w:pPr>
              <w:jc w:val="center"/>
              <w:rPr>
                <w:rFonts w:ascii="Arial" w:hAnsi="Arial" w:cs="Arial"/>
                <w:b/>
                <w:bCs/>
                <w:sz w:val="16"/>
                <w:szCs w:val="16"/>
                <w:u w:val="single"/>
                <w:lang w:val="en-US"/>
              </w:rPr>
            </w:pPr>
          </w:p>
        </w:tc>
        <w:tc>
          <w:tcPr>
            <w:tcW w:w="1701" w:type="dxa"/>
            <w:tcBorders>
              <w:top w:val="nil"/>
              <w:left w:val="nil"/>
              <w:bottom w:val="nil"/>
              <w:right w:val="nil"/>
            </w:tcBorders>
            <w:shd w:val="clear" w:color="auto" w:fill="auto"/>
            <w:noWrap/>
            <w:hideMark/>
          </w:tcPr>
          <w:p w14:paraId="0DC7F665" w14:textId="77777777" w:rsidR="00607E1A" w:rsidRPr="00996036" w:rsidRDefault="00607E1A" w:rsidP="0097553A">
            <w:pPr>
              <w:rPr>
                <w:sz w:val="20"/>
                <w:szCs w:val="20"/>
                <w:lang w:val="en-US"/>
              </w:rPr>
            </w:pPr>
          </w:p>
        </w:tc>
        <w:tc>
          <w:tcPr>
            <w:tcW w:w="1559" w:type="dxa"/>
            <w:tcBorders>
              <w:top w:val="nil"/>
              <w:left w:val="nil"/>
              <w:bottom w:val="nil"/>
              <w:right w:val="nil"/>
            </w:tcBorders>
            <w:shd w:val="clear" w:color="auto" w:fill="auto"/>
            <w:noWrap/>
            <w:hideMark/>
          </w:tcPr>
          <w:p w14:paraId="4B444507" w14:textId="77777777" w:rsidR="00607E1A" w:rsidRPr="00996036" w:rsidRDefault="00607E1A" w:rsidP="0097553A">
            <w:pPr>
              <w:rPr>
                <w:sz w:val="20"/>
                <w:szCs w:val="20"/>
                <w:lang w:val="en-US"/>
              </w:rPr>
            </w:pPr>
          </w:p>
        </w:tc>
        <w:tc>
          <w:tcPr>
            <w:tcW w:w="1559" w:type="dxa"/>
            <w:tcBorders>
              <w:top w:val="nil"/>
              <w:left w:val="nil"/>
              <w:bottom w:val="nil"/>
              <w:right w:val="nil"/>
            </w:tcBorders>
            <w:shd w:val="clear" w:color="auto" w:fill="auto"/>
            <w:noWrap/>
            <w:hideMark/>
          </w:tcPr>
          <w:p w14:paraId="1518EA33" w14:textId="77777777" w:rsidR="00607E1A" w:rsidRPr="00996036" w:rsidRDefault="00607E1A" w:rsidP="0097553A">
            <w:pPr>
              <w:rPr>
                <w:sz w:val="20"/>
                <w:szCs w:val="20"/>
                <w:lang w:val="en-US"/>
              </w:rPr>
            </w:pPr>
          </w:p>
        </w:tc>
      </w:tr>
      <w:tr w:rsidR="00607E1A" w:rsidRPr="00996036" w14:paraId="08EFB1EC" w14:textId="77777777" w:rsidTr="00C24B7A">
        <w:trPr>
          <w:trHeight w:val="340"/>
        </w:trPr>
        <w:tc>
          <w:tcPr>
            <w:tcW w:w="4010" w:type="dxa"/>
            <w:tcBorders>
              <w:top w:val="single" w:sz="4" w:space="0" w:color="000000"/>
              <w:left w:val="single" w:sz="4" w:space="0" w:color="000000"/>
              <w:bottom w:val="single" w:sz="4" w:space="0" w:color="000000"/>
              <w:right w:val="single" w:sz="4" w:space="0" w:color="000000"/>
            </w:tcBorders>
            <w:shd w:val="clear" w:color="auto" w:fill="auto"/>
            <w:hideMark/>
          </w:tcPr>
          <w:p w14:paraId="00C75611" w14:textId="77777777" w:rsidR="00607E1A" w:rsidRPr="00996036" w:rsidRDefault="00607E1A" w:rsidP="0097553A">
            <w:pPr>
              <w:rPr>
                <w:color w:val="000000"/>
                <w:sz w:val="20"/>
                <w:szCs w:val="20"/>
                <w:lang w:val="en-US"/>
              </w:rPr>
            </w:pPr>
            <w:r w:rsidRPr="00996036">
              <w:rPr>
                <w:color w:val="000000"/>
                <w:sz w:val="20"/>
                <w:szCs w:val="20"/>
                <w:lang w:val="en-US"/>
              </w:rPr>
              <w:t> </w:t>
            </w:r>
          </w:p>
        </w:tc>
        <w:tc>
          <w:tcPr>
            <w:tcW w:w="1701" w:type="dxa"/>
            <w:tcBorders>
              <w:top w:val="single" w:sz="4" w:space="0" w:color="000000"/>
              <w:left w:val="nil"/>
              <w:bottom w:val="single" w:sz="4" w:space="0" w:color="000000"/>
              <w:right w:val="single" w:sz="4" w:space="0" w:color="000000"/>
            </w:tcBorders>
            <w:shd w:val="clear" w:color="auto" w:fill="auto"/>
            <w:hideMark/>
          </w:tcPr>
          <w:p w14:paraId="7A3D7CE6" w14:textId="77777777" w:rsidR="00607E1A" w:rsidRPr="00996036" w:rsidRDefault="00607E1A" w:rsidP="0097553A">
            <w:pPr>
              <w:jc w:val="center"/>
              <w:rPr>
                <w:color w:val="000000"/>
                <w:sz w:val="20"/>
                <w:szCs w:val="20"/>
                <w:lang w:val="en-US"/>
              </w:rPr>
            </w:pPr>
            <w:r w:rsidRPr="00996036">
              <w:rPr>
                <w:rFonts w:ascii="Arial" w:hAnsi="Arial" w:cs="Arial"/>
                <w:b/>
                <w:bCs/>
                <w:sz w:val="16"/>
                <w:szCs w:val="16"/>
                <w:lang w:val="en-US"/>
              </w:rPr>
              <w:t>Canada</w:t>
            </w:r>
            <w:r w:rsidRPr="00996036">
              <w:rPr>
                <w:rFonts w:ascii="Arial" w:hAnsi="Arial" w:cs="Arial"/>
                <w:b/>
                <w:bCs/>
                <w:sz w:val="16"/>
                <w:szCs w:val="16"/>
                <w:lang w:val="en-US"/>
              </w:rPr>
              <w:br/>
              <w:t>$</w:t>
            </w:r>
          </w:p>
        </w:tc>
        <w:tc>
          <w:tcPr>
            <w:tcW w:w="1559" w:type="dxa"/>
            <w:tcBorders>
              <w:top w:val="single" w:sz="4" w:space="0" w:color="000000"/>
              <w:left w:val="nil"/>
              <w:bottom w:val="single" w:sz="4" w:space="0" w:color="000000"/>
              <w:right w:val="single" w:sz="4" w:space="0" w:color="000000"/>
            </w:tcBorders>
            <w:shd w:val="clear" w:color="auto" w:fill="auto"/>
            <w:hideMark/>
          </w:tcPr>
          <w:p w14:paraId="23ED82A3" w14:textId="77777777" w:rsidR="00607E1A" w:rsidRPr="00996036" w:rsidRDefault="00607E1A" w:rsidP="0097553A">
            <w:pPr>
              <w:jc w:val="center"/>
              <w:rPr>
                <w:color w:val="000000"/>
                <w:sz w:val="20"/>
                <w:szCs w:val="20"/>
                <w:lang w:val="en-US"/>
              </w:rPr>
            </w:pPr>
            <w:r w:rsidRPr="00996036">
              <w:rPr>
                <w:rFonts w:ascii="Arial" w:hAnsi="Arial" w:cs="Arial"/>
                <w:b/>
                <w:bCs/>
                <w:sz w:val="16"/>
                <w:szCs w:val="16"/>
                <w:lang w:val="en-US"/>
              </w:rPr>
              <w:t>USA</w:t>
            </w:r>
            <w:r w:rsidRPr="00996036">
              <w:rPr>
                <w:rFonts w:ascii="Arial" w:hAnsi="Arial" w:cs="Arial"/>
                <w:b/>
                <w:bCs/>
                <w:sz w:val="16"/>
                <w:szCs w:val="16"/>
                <w:lang w:val="en-US"/>
              </w:rPr>
              <w:br/>
              <w:t>$</w:t>
            </w:r>
          </w:p>
        </w:tc>
        <w:tc>
          <w:tcPr>
            <w:tcW w:w="1559" w:type="dxa"/>
            <w:tcBorders>
              <w:top w:val="single" w:sz="4" w:space="0" w:color="000000"/>
              <w:left w:val="nil"/>
              <w:bottom w:val="single" w:sz="4" w:space="0" w:color="000000"/>
              <w:right w:val="single" w:sz="4" w:space="0" w:color="000000"/>
            </w:tcBorders>
            <w:shd w:val="clear" w:color="auto" w:fill="auto"/>
            <w:hideMark/>
          </w:tcPr>
          <w:p w14:paraId="69B968A0" w14:textId="77777777" w:rsidR="00607E1A" w:rsidRPr="00996036" w:rsidRDefault="00607E1A" w:rsidP="0097553A">
            <w:pPr>
              <w:jc w:val="center"/>
              <w:rPr>
                <w:color w:val="000000"/>
                <w:sz w:val="20"/>
                <w:szCs w:val="20"/>
                <w:lang w:val="en-US"/>
              </w:rPr>
            </w:pPr>
            <w:r w:rsidRPr="00996036">
              <w:rPr>
                <w:rFonts w:ascii="Arial" w:hAnsi="Arial" w:cs="Arial"/>
                <w:b/>
                <w:bCs/>
                <w:sz w:val="16"/>
                <w:szCs w:val="16"/>
                <w:lang w:val="en-US"/>
              </w:rPr>
              <w:t>Total</w:t>
            </w:r>
            <w:r w:rsidRPr="00996036">
              <w:rPr>
                <w:rFonts w:ascii="Arial" w:hAnsi="Arial" w:cs="Arial"/>
                <w:b/>
                <w:bCs/>
                <w:sz w:val="16"/>
                <w:szCs w:val="16"/>
                <w:lang w:val="en-US"/>
              </w:rPr>
              <w:br/>
              <w:t>$</w:t>
            </w:r>
          </w:p>
        </w:tc>
      </w:tr>
      <w:tr w:rsidR="00607E1A" w:rsidRPr="00996036" w14:paraId="0C32240B" w14:textId="77777777" w:rsidTr="0097553A">
        <w:trPr>
          <w:trHeight w:val="252"/>
        </w:trPr>
        <w:tc>
          <w:tcPr>
            <w:tcW w:w="4010" w:type="dxa"/>
            <w:tcBorders>
              <w:top w:val="nil"/>
              <w:left w:val="single" w:sz="4" w:space="0" w:color="000000"/>
              <w:bottom w:val="single" w:sz="4" w:space="0" w:color="000000"/>
              <w:right w:val="single" w:sz="4" w:space="0" w:color="000000"/>
            </w:tcBorders>
            <w:shd w:val="clear" w:color="auto" w:fill="auto"/>
            <w:hideMark/>
          </w:tcPr>
          <w:p w14:paraId="6E895E82" w14:textId="77777777" w:rsidR="00607E1A" w:rsidRPr="00996036" w:rsidRDefault="00607E1A" w:rsidP="0097553A">
            <w:pPr>
              <w:rPr>
                <w:rFonts w:ascii="Arial" w:hAnsi="Arial" w:cs="Arial"/>
                <w:b/>
                <w:bCs/>
                <w:sz w:val="16"/>
                <w:szCs w:val="16"/>
                <w:lang w:val="en-US"/>
              </w:rPr>
            </w:pPr>
            <w:r w:rsidRPr="00996036">
              <w:rPr>
                <w:rFonts w:ascii="Arial" w:hAnsi="Arial" w:cs="Arial"/>
                <w:b/>
                <w:bCs/>
                <w:sz w:val="16"/>
                <w:szCs w:val="16"/>
                <w:lang w:val="en-US"/>
              </w:rPr>
              <w:t>Segmented Assets</w:t>
            </w:r>
          </w:p>
        </w:tc>
        <w:tc>
          <w:tcPr>
            <w:tcW w:w="1701" w:type="dxa"/>
            <w:tcBorders>
              <w:top w:val="nil"/>
              <w:left w:val="nil"/>
              <w:bottom w:val="single" w:sz="4" w:space="0" w:color="000000"/>
              <w:right w:val="single" w:sz="4" w:space="0" w:color="000000"/>
            </w:tcBorders>
            <w:shd w:val="clear" w:color="auto" w:fill="auto"/>
            <w:noWrap/>
            <w:hideMark/>
          </w:tcPr>
          <w:p w14:paraId="26FB8EC6" w14:textId="77777777" w:rsidR="00607E1A" w:rsidRPr="00123610" w:rsidRDefault="00607E1A" w:rsidP="0097553A">
            <w:pPr>
              <w:jc w:val="right"/>
              <w:rPr>
                <w:rFonts w:ascii="Arial" w:hAnsi="Arial" w:cs="Arial"/>
                <w:color w:val="000000"/>
                <w:sz w:val="16"/>
                <w:szCs w:val="16"/>
                <w:lang w:val="en-US"/>
              </w:rPr>
            </w:pPr>
            <w:r w:rsidRPr="00123610">
              <w:rPr>
                <w:rFonts w:ascii="Arial" w:hAnsi="Arial" w:cs="Arial"/>
                <w:sz w:val="16"/>
                <w:szCs w:val="16"/>
              </w:rPr>
              <w:t xml:space="preserve">  2,757,217</w:t>
            </w:r>
          </w:p>
        </w:tc>
        <w:tc>
          <w:tcPr>
            <w:tcW w:w="1559" w:type="dxa"/>
            <w:tcBorders>
              <w:top w:val="nil"/>
              <w:left w:val="nil"/>
              <w:bottom w:val="single" w:sz="4" w:space="0" w:color="000000"/>
              <w:right w:val="single" w:sz="4" w:space="0" w:color="000000"/>
            </w:tcBorders>
            <w:shd w:val="clear" w:color="auto" w:fill="auto"/>
            <w:noWrap/>
            <w:hideMark/>
          </w:tcPr>
          <w:p w14:paraId="1BA10AFD" w14:textId="77777777" w:rsidR="00607E1A" w:rsidRPr="00123610" w:rsidRDefault="00607E1A" w:rsidP="0097553A">
            <w:pPr>
              <w:jc w:val="right"/>
              <w:rPr>
                <w:rFonts w:ascii="Arial" w:hAnsi="Arial" w:cs="Arial"/>
                <w:color w:val="000000"/>
                <w:sz w:val="16"/>
                <w:szCs w:val="16"/>
                <w:lang w:val="en-US"/>
              </w:rPr>
            </w:pPr>
            <w:r w:rsidRPr="00123610">
              <w:rPr>
                <w:rFonts w:ascii="Arial" w:hAnsi="Arial" w:cs="Arial"/>
                <w:sz w:val="16"/>
                <w:szCs w:val="16"/>
              </w:rPr>
              <w:t xml:space="preserve">  906,013</w:t>
            </w:r>
          </w:p>
        </w:tc>
        <w:tc>
          <w:tcPr>
            <w:tcW w:w="1559" w:type="dxa"/>
            <w:tcBorders>
              <w:top w:val="nil"/>
              <w:left w:val="nil"/>
              <w:bottom w:val="single" w:sz="4" w:space="0" w:color="000000"/>
              <w:right w:val="single" w:sz="4" w:space="0" w:color="000000"/>
            </w:tcBorders>
            <w:shd w:val="clear" w:color="auto" w:fill="auto"/>
            <w:noWrap/>
            <w:hideMark/>
          </w:tcPr>
          <w:p w14:paraId="0C2F4336" w14:textId="77777777" w:rsidR="00607E1A" w:rsidRPr="00AB42F3" w:rsidRDefault="00607E1A" w:rsidP="0097553A">
            <w:pPr>
              <w:jc w:val="right"/>
              <w:rPr>
                <w:rFonts w:ascii="Arial" w:hAnsi="Arial" w:cs="Arial"/>
                <w:bCs/>
                <w:color w:val="000000"/>
                <w:sz w:val="16"/>
                <w:szCs w:val="16"/>
                <w:lang w:val="en-US"/>
              </w:rPr>
            </w:pPr>
            <w:r w:rsidRPr="00AB42F3">
              <w:rPr>
                <w:rFonts w:ascii="Arial" w:hAnsi="Arial" w:cs="Arial"/>
                <w:bCs/>
                <w:sz w:val="16"/>
                <w:szCs w:val="16"/>
              </w:rPr>
              <w:t xml:space="preserve">  3,663,230</w:t>
            </w:r>
          </w:p>
        </w:tc>
      </w:tr>
      <w:tr w:rsidR="00607E1A" w:rsidRPr="00996036" w14:paraId="05C85AAF" w14:textId="77777777" w:rsidTr="0097553A">
        <w:trPr>
          <w:trHeight w:val="252"/>
        </w:trPr>
        <w:tc>
          <w:tcPr>
            <w:tcW w:w="4010" w:type="dxa"/>
            <w:tcBorders>
              <w:top w:val="nil"/>
              <w:left w:val="single" w:sz="4" w:space="0" w:color="000000"/>
              <w:bottom w:val="single" w:sz="4" w:space="0" w:color="000000"/>
              <w:right w:val="single" w:sz="4" w:space="0" w:color="000000"/>
            </w:tcBorders>
            <w:shd w:val="clear" w:color="auto" w:fill="auto"/>
            <w:hideMark/>
          </w:tcPr>
          <w:p w14:paraId="7A9D8106" w14:textId="77777777" w:rsidR="00607E1A" w:rsidRPr="00996036" w:rsidRDefault="00607E1A" w:rsidP="0097553A">
            <w:pPr>
              <w:rPr>
                <w:rFonts w:ascii="Arial" w:hAnsi="Arial" w:cs="Arial"/>
                <w:b/>
                <w:bCs/>
                <w:sz w:val="16"/>
                <w:szCs w:val="16"/>
                <w:lang w:val="en-US"/>
              </w:rPr>
            </w:pPr>
            <w:r w:rsidRPr="00996036">
              <w:rPr>
                <w:rFonts w:ascii="Arial" w:hAnsi="Arial" w:cs="Arial"/>
                <w:b/>
                <w:bCs/>
                <w:sz w:val="16"/>
                <w:szCs w:val="16"/>
                <w:lang w:val="en-US"/>
              </w:rPr>
              <w:t>Segmented Liabilities</w:t>
            </w:r>
          </w:p>
        </w:tc>
        <w:tc>
          <w:tcPr>
            <w:tcW w:w="1701" w:type="dxa"/>
            <w:tcBorders>
              <w:top w:val="nil"/>
              <w:left w:val="nil"/>
              <w:bottom w:val="single" w:sz="4" w:space="0" w:color="000000"/>
              <w:right w:val="single" w:sz="4" w:space="0" w:color="000000"/>
            </w:tcBorders>
            <w:shd w:val="clear" w:color="auto" w:fill="auto"/>
            <w:noWrap/>
            <w:hideMark/>
          </w:tcPr>
          <w:p w14:paraId="076BCAE1" w14:textId="590C0F3E" w:rsidR="00607E1A" w:rsidRPr="00123610" w:rsidRDefault="00607E1A" w:rsidP="0097553A">
            <w:pPr>
              <w:jc w:val="right"/>
              <w:rPr>
                <w:rFonts w:ascii="Arial" w:hAnsi="Arial" w:cs="Arial"/>
                <w:color w:val="000000"/>
                <w:sz w:val="16"/>
                <w:szCs w:val="16"/>
                <w:lang w:val="en-US"/>
              </w:rPr>
            </w:pPr>
            <w:r w:rsidRPr="00123610">
              <w:rPr>
                <w:rFonts w:ascii="Arial" w:hAnsi="Arial" w:cs="Arial"/>
                <w:sz w:val="16"/>
                <w:szCs w:val="16"/>
              </w:rPr>
              <w:t>2</w:t>
            </w:r>
            <w:r w:rsidR="00D8506A">
              <w:rPr>
                <w:rFonts w:ascii="Arial" w:hAnsi="Arial" w:cs="Arial"/>
                <w:sz w:val="16"/>
                <w:szCs w:val="16"/>
              </w:rPr>
              <w:t>9</w:t>
            </w:r>
            <w:r w:rsidRPr="00123610">
              <w:rPr>
                <w:rFonts w:ascii="Arial" w:hAnsi="Arial" w:cs="Arial"/>
                <w:sz w:val="16"/>
                <w:szCs w:val="16"/>
              </w:rPr>
              <w:t>0,248</w:t>
            </w:r>
          </w:p>
        </w:tc>
        <w:tc>
          <w:tcPr>
            <w:tcW w:w="1559" w:type="dxa"/>
            <w:tcBorders>
              <w:top w:val="nil"/>
              <w:left w:val="nil"/>
              <w:bottom w:val="single" w:sz="4" w:space="0" w:color="000000"/>
              <w:right w:val="single" w:sz="4" w:space="0" w:color="000000"/>
            </w:tcBorders>
            <w:shd w:val="clear" w:color="auto" w:fill="auto"/>
            <w:noWrap/>
            <w:hideMark/>
          </w:tcPr>
          <w:p w14:paraId="4D52CB6A" w14:textId="77777777" w:rsidR="00607E1A" w:rsidRPr="00123610" w:rsidRDefault="00607E1A" w:rsidP="0097553A">
            <w:pPr>
              <w:jc w:val="right"/>
              <w:rPr>
                <w:rFonts w:ascii="Arial" w:hAnsi="Arial" w:cs="Arial"/>
                <w:color w:val="000000"/>
                <w:sz w:val="16"/>
                <w:szCs w:val="16"/>
                <w:lang w:val="en-US"/>
              </w:rPr>
            </w:pPr>
            <w:r w:rsidRPr="00123610">
              <w:rPr>
                <w:rFonts w:ascii="Arial" w:hAnsi="Arial" w:cs="Arial"/>
                <w:sz w:val="16"/>
                <w:szCs w:val="16"/>
              </w:rPr>
              <w:t>278,547</w:t>
            </w:r>
          </w:p>
        </w:tc>
        <w:tc>
          <w:tcPr>
            <w:tcW w:w="1559" w:type="dxa"/>
            <w:tcBorders>
              <w:top w:val="nil"/>
              <w:left w:val="nil"/>
              <w:bottom w:val="single" w:sz="4" w:space="0" w:color="000000"/>
              <w:right w:val="single" w:sz="4" w:space="0" w:color="000000"/>
            </w:tcBorders>
            <w:shd w:val="clear" w:color="auto" w:fill="auto"/>
            <w:noWrap/>
            <w:hideMark/>
          </w:tcPr>
          <w:p w14:paraId="7C528BC1" w14:textId="3EB1B2DD" w:rsidR="00607E1A" w:rsidRPr="00AB42F3" w:rsidRDefault="00607E1A" w:rsidP="0097553A">
            <w:pPr>
              <w:jc w:val="right"/>
              <w:rPr>
                <w:rFonts w:ascii="Arial" w:hAnsi="Arial" w:cs="Arial"/>
                <w:bCs/>
                <w:color w:val="000000"/>
                <w:sz w:val="16"/>
                <w:szCs w:val="16"/>
                <w:lang w:val="en-US"/>
              </w:rPr>
            </w:pPr>
            <w:r w:rsidRPr="00AB42F3">
              <w:rPr>
                <w:rFonts w:ascii="Arial" w:hAnsi="Arial" w:cs="Arial"/>
                <w:bCs/>
                <w:sz w:val="16"/>
                <w:szCs w:val="16"/>
              </w:rPr>
              <w:t>5</w:t>
            </w:r>
            <w:r w:rsidR="00D8506A" w:rsidRPr="00AB42F3">
              <w:rPr>
                <w:rFonts w:ascii="Arial" w:hAnsi="Arial" w:cs="Arial"/>
                <w:bCs/>
                <w:sz w:val="16"/>
                <w:szCs w:val="16"/>
              </w:rPr>
              <w:t>6</w:t>
            </w:r>
            <w:r w:rsidRPr="00AB42F3">
              <w:rPr>
                <w:rFonts w:ascii="Arial" w:hAnsi="Arial" w:cs="Arial"/>
                <w:bCs/>
                <w:sz w:val="16"/>
                <w:szCs w:val="16"/>
              </w:rPr>
              <w:t>8,795</w:t>
            </w:r>
          </w:p>
        </w:tc>
      </w:tr>
      <w:tr w:rsidR="00607E1A" w:rsidRPr="00996036" w14:paraId="26B79D22" w14:textId="77777777" w:rsidTr="0097553A">
        <w:trPr>
          <w:trHeight w:val="252"/>
        </w:trPr>
        <w:tc>
          <w:tcPr>
            <w:tcW w:w="4010" w:type="dxa"/>
            <w:tcBorders>
              <w:top w:val="nil"/>
              <w:left w:val="single" w:sz="4" w:space="0" w:color="000000"/>
              <w:bottom w:val="single" w:sz="4" w:space="0" w:color="000000"/>
              <w:right w:val="single" w:sz="4" w:space="0" w:color="000000"/>
            </w:tcBorders>
            <w:shd w:val="clear" w:color="auto" w:fill="auto"/>
            <w:hideMark/>
          </w:tcPr>
          <w:p w14:paraId="724BB0E1" w14:textId="77777777" w:rsidR="00607E1A" w:rsidRPr="00996036" w:rsidRDefault="00607E1A" w:rsidP="0097553A">
            <w:pPr>
              <w:rPr>
                <w:rFonts w:ascii="Arial" w:hAnsi="Arial" w:cs="Arial"/>
                <w:b/>
                <w:bCs/>
                <w:sz w:val="16"/>
                <w:szCs w:val="16"/>
                <w:lang w:val="en-US"/>
              </w:rPr>
            </w:pPr>
            <w:r w:rsidRPr="00996036">
              <w:rPr>
                <w:rFonts w:ascii="Arial" w:hAnsi="Arial" w:cs="Arial"/>
                <w:b/>
                <w:bCs/>
                <w:sz w:val="16"/>
                <w:szCs w:val="16"/>
                <w:lang w:val="en-US"/>
              </w:rPr>
              <w:t>Operating activities</w:t>
            </w:r>
          </w:p>
        </w:tc>
        <w:tc>
          <w:tcPr>
            <w:tcW w:w="1701" w:type="dxa"/>
            <w:tcBorders>
              <w:top w:val="nil"/>
              <w:left w:val="nil"/>
              <w:bottom w:val="single" w:sz="4" w:space="0" w:color="000000"/>
              <w:right w:val="single" w:sz="4" w:space="0" w:color="000000"/>
            </w:tcBorders>
            <w:shd w:val="clear" w:color="auto" w:fill="auto"/>
            <w:vAlign w:val="bottom"/>
            <w:hideMark/>
          </w:tcPr>
          <w:p w14:paraId="5CCDA89D" w14:textId="77777777" w:rsidR="00607E1A" w:rsidRPr="00B148C5" w:rsidRDefault="00607E1A" w:rsidP="0097553A">
            <w:pPr>
              <w:jc w:val="right"/>
              <w:rPr>
                <w:color w:val="000000"/>
                <w:sz w:val="20"/>
                <w:szCs w:val="20"/>
                <w:lang w:val="en-US"/>
              </w:rPr>
            </w:pPr>
            <w:r w:rsidRPr="00B148C5">
              <w:rPr>
                <w:color w:val="000000"/>
                <w:sz w:val="20"/>
                <w:szCs w:val="20"/>
                <w:lang w:val="en-US"/>
              </w:rPr>
              <w:t> </w:t>
            </w:r>
          </w:p>
        </w:tc>
        <w:tc>
          <w:tcPr>
            <w:tcW w:w="1559" w:type="dxa"/>
            <w:tcBorders>
              <w:top w:val="nil"/>
              <w:left w:val="nil"/>
              <w:bottom w:val="single" w:sz="4" w:space="0" w:color="000000"/>
              <w:right w:val="single" w:sz="4" w:space="0" w:color="000000"/>
            </w:tcBorders>
            <w:shd w:val="clear" w:color="auto" w:fill="auto"/>
            <w:vAlign w:val="bottom"/>
            <w:hideMark/>
          </w:tcPr>
          <w:p w14:paraId="58CA790F" w14:textId="77777777" w:rsidR="00607E1A" w:rsidRPr="00B148C5" w:rsidRDefault="00607E1A" w:rsidP="0097553A">
            <w:pPr>
              <w:jc w:val="right"/>
              <w:rPr>
                <w:color w:val="000000"/>
                <w:sz w:val="20"/>
                <w:szCs w:val="20"/>
                <w:lang w:val="en-US"/>
              </w:rPr>
            </w:pPr>
            <w:r w:rsidRPr="00B148C5">
              <w:rPr>
                <w:color w:val="000000"/>
                <w:sz w:val="20"/>
                <w:szCs w:val="20"/>
                <w:lang w:val="en-US"/>
              </w:rPr>
              <w:t> </w:t>
            </w:r>
          </w:p>
        </w:tc>
        <w:tc>
          <w:tcPr>
            <w:tcW w:w="1559" w:type="dxa"/>
            <w:tcBorders>
              <w:top w:val="nil"/>
              <w:left w:val="nil"/>
              <w:bottom w:val="single" w:sz="4" w:space="0" w:color="000000"/>
              <w:right w:val="single" w:sz="4" w:space="0" w:color="000000"/>
            </w:tcBorders>
            <w:shd w:val="clear" w:color="auto" w:fill="auto"/>
            <w:vAlign w:val="bottom"/>
            <w:hideMark/>
          </w:tcPr>
          <w:p w14:paraId="6A930F1C" w14:textId="77777777" w:rsidR="00607E1A" w:rsidRPr="00AB42F3" w:rsidRDefault="00607E1A" w:rsidP="0097553A">
            <w:pPr>
              <w:jc w:val="right"/>
              <w:rPr>
                <w:bCs/>
                <w:color w:val="000000"/>
                <w:sz w:val="20"/>
                <w:szCs w:val="20"/>
                <w:lang w:val="en-US"/>
              </w:rPr>
            </w:pPr>
          </w:p>
        </w:tc>
      </w:tr>
      <w:tr w:rsidR="00607E1A" w:rsidRPr="00E91EDA" w14:paraId="2C683937" w14:textId="77777777" w:rsidTr="0097553A">
        <w:trPr>
          <w:trHeight w:val="252"/>
        </w:trPr>
        <w:tc>
          <w:tcPr>
            <w:tcW w:w="4010" w:type="dxa"/>
            <w:tcBorders>
              <w:top w:val="nil"/>
              <w:left w:val="single" w:sz="4" w:space="0" w:color="000000"/>
              <w:bottom w:val="nil"/>
              <w:right w:val="single" w:sz="4" w:space="0" w:color="000000"/>
            </w:tcBorders>
            <w:shd w:val="clear" w:color="auto" w:fill="auto"/>
            <w:hideMark/>
          </w:tcPr>
          <w:p w14:paraId="6D13F3C5" w14:textId="77777777" w:rsidR="00607E1A" w:rsidRPr="00996036" w:rsidRDefault="00607E1A" w:rsidP="0097553A">
            <w:pPr>
              <w:rPr>
                <w:rFonts w:ascii="Arial" w:hAnsi="Arial" w:cs="Arial"/>
                <w:sz w:val="16"/>
                <w:szCs w:val="16"/>
                <w:lang w:val="en-US"/>
              </w:rPr>
            </w:pPr>
            <w:r w:rsidRPr="00996036">
              <w:rPr>
                <w:rFonts w:ascii="Arial" w:hAnsi="Arial" w:cs="Arial"/>
                <w:sz w:val="16"/>
                <w:szCs w:val="16"/>
                <w:lang w:val="en-US"/>
              </w:rPr>
              <w:t>Depreciation</w:t>
            </w:r>
          </w:p>
        </w:tc>
        <w:tc>
          <w:tcPr>
            <w:tcW w:w="1701" w:type="dxa"/>
            <w:tcBorders>
              <w:top w:val="nil"/>
              <w:left w:val="nil"/>
              <w:bottom w:val="nil"/>
              <w:right w:val="single" w:sz="4" w:space="0" w:color="000000"/>
            </w:tcBorders>
            <w:shd w:val="clear" w:color="auto" w:fill="auto"/>
            <w:noWrap/>
            <w:hideMark/>
          </w:tcPr>
          <w:p w14:paraId="317BC547" w14:textId="77777777" w:rsidR="00607E1A" w:rsidRPr="00B148C5" w:rsidRDefault="00607E1A" w:rsidP="0097553A">
            <w:pPr>
              <w:jc w:val="right"/>
              <w:rPr>
                <w:rFonts w:ascii="Arial" w:hAnsi="Arial" w:cs="Arial"/>
                <w:color w:val="000000"/>
                <w:sz w:val="16"/>
                <w:szCs w:val="16"/>
                <w:lang w:val="en-US"/>
              </w:rPr>
            </w:pPr>
            <w:r w:rsidRPr="00B148C5">
              <w:rPr>
                <w:rFonts w:ascii="Arial" w:hAnsi="Arial" w:cs="Arial"/>
                <w:sz w:val="16"/>
                <w:szCs w:val="16"/>
              </w:rPr>
              <w:t xml:space="preserve"> 195 </w:t>
            </w:r>
          </w:p>
        </w:tc>
        <w:tc>
          <w:tcPr>
            <w:tcW w:w="1559" w:type="dxa"/>
            <w:tcBorders>
              <w:top w:val="nil"/>
              <w:left w:val="nil"/>
              <w:bottom w:val="nil"/>
              <w:right w:val="single" w:sz="4" w:space="0" w:color="000000"/>
            </w:tcBorders>
            <w:shd w:val="clear" w:color="auto" w:fill="auto"/>
            <w:hideMark/>
          </w:tcPr>
          <w:p w14:paraId="744C003E" w14:textId="77777777" w:rsidR="00607E1A" w:rsidRPr="00B148C5" w:rsidRDefault="00607E1A" w:rsidP="0097553A">
            <w:pPr>
              <w:jc w:val="right"/>
              <w:rPr>
                <w:rFonts w:ascii="Arial" w:hAnsi="Arial" w:cs="Arial"/>
                <w:sz w:val="16"/>
                <w:szCs w:val="16"/>
                <w:lang w:val="en-US"/>
              </w:rPr>
            </w:pPr>
            <w:r w:rsidRPr="00B148C5">
              <w:rPr>
                <w:rFonts w:ascii="Arial" w:hAnsi="Arial" w:cs="Arial"/>
                <w:sz w:val="16"/>
                <w:szCs w:val="16"/>
              </w:rPr>
              <w:t xml:space="preserve"> -   </w:t>
            </w:r>
          </w:p>
        </w:tc>
        <w:tc>
          <w:tcPr>
            <w:tcW w:w="1559" w:type="dxa"/>
            <w:tcBorders>
              <w:top w:val="nil"/>
              <w:left w:val="nil"/>
              <w:bottom w:val="nil"/>
              <w:right w:val="single" w:sz="4" w:space="0" w:color="000000"/>
            </w:tcBorders>
            <w:shd w:val="clear" w:color="auto" w:fill="auto"/>
            <w:hideMark/>
          </w:tcPr>
          <w:p w14:paraId="22B2475B" w14:textId="77777777" w:rsidR="00607E1A" w:rsidRPr="00AB42F3" w:rsidRDefault="00607E1A" w:rsidP="0097553A">
            <w:pPr>
              <w:jc w:val="right"/>
              <w:rPr>
                <w:rFonts w:ascii="Arial" w:hAnsi="Arial" w:cs="Arial"/>
                <w:bCs/>
                <w:sz w:val="16"/>
                <w:szCs w:val="16"/>
                <w:lang w:val="en-US"/>
              </w:rPr>
            </w:pPr>
            <w:r w:rsidRPr="00AB42F3">
              <w:rPr>
                <w:rFonts w:ascii="Arial" w:hAnsi="Arial" w:cs="Arial"/>
                <w:bCs/>
                <w:sz w:val="16"/>
                <w:szCs w:val="16"/>
              </w:rPr>
              <w:t xml:space="preserve"> 195 </w:t>
            </w:r>
          </w:p>
        </w:tc>
      </w:tr>
      <w:tr w:rsidR="00607E1A" w:rsidRPr="00E91EDA" w14:paraId="64BC3345" w14:textId="77777777" w:rsidTr="0097553A">
        <w:trPr>
          <w:trHeight w:val="252"/>
        </w:trPr>
        <w:tc>
          <w:tcPr>
            <w:tcW w:w="4010" w:type="dxa"/>
            <w:tcBorders>
              <w:top w:val="nil"/>
              <w:left w:val="single" w:sz="4" w:space="0" w:color="000000"/>
              <w:bottom w:val="nil"/>
              <w:right w:val="single" w:sz="4" w:space="0" w:color="000000"/>
            </w:tcBorders>
            <w:shd w:val="clear" w:color="auto" w:fill="auto"/>
          </w:tcPr>
          <w:p w14:paraId="3567AD93" w14:textId="77777777" w:rsidR="00607E1A" w:rsidRPr="00996036" w:rsidRDefault="00607E1A" w:rsidP="0097553A">
            <w:pPr>
              <w:rPr>
                <w:rFonts w:ascii="Arial" w:hAnsi="Arial" w:cs="Arial"/>
                <w:sz w:val="16"/>
                <w:szCs w:val="16"/>
                <w:lang w:val="en-US"/>
              </w:rPr>
            </w:pPr>
            <w:r w:rsidRPr="00996036">
              <w:rPr>
                <w:rFonts w:ascii="Arial" w:hAnsi="Arial" w:cs="Arial"/>
                <w:sz w:val="16"/>
                <w:szCs w:val="16"/>
                <w:lang w:val="en-US"/>
              </w:rPr>
              <w:t>Exchange loss</w:t>
            </w:r>
          </w:p>
        </w:tc>
        <w:tc>
          <w:tcPr>
            <w:tcW w:w="1701" w:type="dxa"/>
            <w:tcBorders>
              <w:top w:val="nil"/>
              <w:left w:val="nil"/>
              <w:bottom w:val="nil"/>
              <w:right w:val="single" w:sz="4" w:space="0" w:color="000000"/>
            </w:tcBorders>
            <w:shd w:val="clear" w:color="auto" w:fill="auto"/>
            <w:noWrap/>
          </w:tcPr>
          <w:p w14:paraId="657ABBE3" w14:textId="77777777" w:rsidR="00607E1A" w:rsidRPr="00B148C5" w:rsidRDefault="00607E1A" w:rsidP="0097553A">
            <w:pPr>
              <w:jc w:val="right"/>
              <w:rPr>
                <w:rFonts w:ascii="Arial" w:hAnsi="Arial" w:cs="Arial"/>
                <w:sz w:val="16"/>
                <w:szCs w:val="16"/>
              </w:rPr>
            </w:pPr>
            <w:r w:rsidRPr="00B148C5">
              <w:rPr>
                <w:rFonts w:ascii="Arial" w:hAnsi="Arial" w:cs="Arial"/>
                <w:color w:val="000000"/>
                <w:sz w:val="16"/>
                <w:szCs w:val="16"/>
              </w:rPr>
              <w:t xml:space="preserve"> (114,365)</w:t>
            </w:r>
          </w:p>
        </w:tc>
        <w:tc>
          <w:tcPr>
            <w:tcW w:w="1559" w:type="dxa"/>
            <w:tcBorders>
              <w:top w:val="nil"/>
              <w:left w:val="nil"/>
              <w:bottom w:val="nil"/>
              <w:right w:val="single" w:sz="4" w:space="0" w:color="000000"/>
            </w:tcBorders>
            <w:shd w:val="clear" w:color="auto" w:fill="auto"/>
          </w:tcPr>
          <w:p w14:paraId="3086EB5A" w14:textId="77777777" w:rsidR="00607E1A" w:rsidRPr="00B148C5" w:rsidRDefault="00607E1A" w:rsidP="0097553A">
            <w:pPr>
              <w:jc w:val="right"/>
              <w:rPr>
                <w:rFonts w:ascii="Arial" w:hAnsi="Arial" w:cs="Arial"/>
                <w:sz w:val="16"/>
                <w:szCs w:val="16"/>
              </w:rPr>
            </w:pPr>
            <w:r w:rsidRPr="00B148C5">
              <w:rPr>
                <w:rFonts w:ascii="Arial" w:hAnsi="Arial" w:cs="Arial"/>
                <w:sz w:val="16"/>
                <w:szCs w:val="16"/>
              </w:rPr>
              <w:t xml:space="preserve">           (86,907)</w:t>
            </w:r>
          </w:p>
        </w:tc>
        <w:tc>
          <w:tcPr>
            <w:tcW w:w="1559" w:type="dxa"/>
            <w:tcBorders>
              <w:top w:val="nil"/>
              <w:left w:val="nil"/>
              <w:bottom w:val="nil"/>
              <w:right w:val="single" w:sz="4" w:space="0" w:color="000000"/>
            </w:tcBorders>
            <w:shd w:val="clear" w:color="auto" w:fill="auto"/>
          </w:tcPr>
          <w:p w14:paraId="42FFA726" w14:textId="77777777" w:rsidR="00607E1A" w:rsidRPr="00AB42F3" w:rsidRDefault="00607E1A" w:rsidP="0097553A">
            <w:pPr>
              <w:jc w:val="right"/>
              <w:rPr>
                <w:rFonts w:ascii="Arial" w:hAnsi="Arial" w:cs="Arial"/>
                <w:bCs/>
                <w:sz w:val="16"/>
                <w:szCs w:val="16"/>
              </w:rPr>
            </w:pPr>
            <w:r w:rsidRPr="00AB42F3">
              <w:rPr>
                <w:rFonts w:ascii="Arial" w:hAnsi="Arial" w:cs="Arial"/>
                <w:bCs/>
                <w:sz w:val="16"/>
                <w:szCs w:val="16"/>
              </w:rPr>
              <w:t xml:space="preserve">         (201,272)</w:t>
            </w:r>
          </w:p>
        </w:tc>
      </w:tr>
      <w:tr w:rsidR="00607E1A" w:rsidRPr="00E91EDA" w14:paraId="26EAD4D7" w14:textId="77777777" w:rsidTr="0097553A">
        <w:trPr>
          <w:trHeight w:val="252"/>
        </w:trPr>
        <w:tc>
          <w:tcPr>
            <w:tcW w:w="4010" w:type="dxa"/>
            <w:tcBorders>
              <w:top w:val="nil"/>
              <w:left w:val="single" w:sz="4" w:space="0" w:color="000000"/>
              <w:bottom w:val="nil"/>
              <w:right w:val="single" w:sz="4" w:space="0" w:color="000000"/>
            </w:tcBorders>
            <w:shd w:val="clear" w:color="auto" w:fill="auto"/>
          </w:tcPr>
          <w:p w14:paraId="2307CF6F" w14:textId="77777777" w:rsidR="00607E1A" w:rsidRPr="00996036" w:rsidRDefault="00607E1A" w:rsidP="0097553A">
            <w:pPr>
              <w:rPr>
                <w:rFonts w:ascii="Arial" w:hAnsi="Arial" w:cs="Arial"/>
                <w:sz w:val="16"/>
                <w:szCs w:val="16"/>
                <w:lang w:val="en-US"/>
              </w:rPr>
            </w:pPr>
            <w:r w:rsidRPr="00996036">
              <w:rPr>
                <w:rFonts w:ascii="Arial" w:hAnsi="Arial" w:cs="Arial"/>
                <w:sz w:val="16"/>
                <w:szCs w:val="16"/>
                <w:lang w:val="en-US"/>
              </w:rPr>
              <w:t>Exploration and evaluation expenses</w:t>
            </w:r>
          </w:p>
        </w:tc>
        <w:tc>
          <w:tcPr>
            <w:tcW w:w="1701" w:type="dxa"/>
            <w:tcBorders>
              <w:top w:val="nil"/>
              <w:left w:val="nil"/>
              <w:bottom w:val="nil"/>
              <w:right w:val="single" w:sz="4" w:space="0" w:color="000000"/>
            </w:tcBorders>
            <w:shd w:val="clear" w:color="auto" w:fill="auto"/>
            <w:noWrap/>
          </w:tcPr>
          <w:p w14:paraId="7DADA857" w14:textId="6777436F" w:rsidR="00607E1A" w:rsidRPr="00B148C5" w:rsidRDefault="00607E1A" w:rsidP="0097553A">
            <w:pPr>
              <w:jc w:val="right"/>
              <w:rPr>
                <w:rFonts w:ascii="Arial" w:hAnsi="Arial" w:cs="Arial"/>
                <w:sz w:val="16"/>
                <w:szCs w:val="16"/>
              </w:rPr>
            </w:pPr>
            <w:r w:rsidRPr="00B148C5">
              <w:rPr>
                <w:rFonts w:ascii="Arial" w:hAnsi="Arial" w:cs="Arial"/>
                <w:sz w:val="16"/>
                <w:szCs w:val="16"/>
              </w:rPr>
              <w:t>1,</w:t>
            </w:r>
            <w:r w:rsidR="001D5D85">
              <w:rPr>
                <w:rFonts w:ascii="Arial" w:hAnsi="Arial" w:cs="Arial"/>
                <w:sz w:val="16"/>
                <w:szCs w:val="16"/>
              </w:rPr>
              <w:t>60</w:t>
            </w:r>
            <w:r w:rsidRPr="00B148C5">
              <w:rPr>
                <w:rFonts w:ascii="Arial" w:hAnsi="Arial" w:cs="Arial"/>
                <w:sz w:val="16"/>
                <w:szCs w:val="16"/>
              </w:rPr>
              <w:t>5,301</w:t>
            </w:r>
          </w:p>
        </w:tc>
        <w:tc>
          <w:tcPr>
            <w:tcW w:w="1559" w:type="dxa"/>
            <w:tcBorders>
              <w:top w:val="nil"/>
              <w:left w:val="nil"/>
              <w:bottom w:val="nil"/>
              <w:right w:val="single" w:sz="4" w:space="0" w:color="000000"/>
            </w:tcBorders>
            <w:shd w:val="clear" w:color="auto" w:fill="auto"/>
          </w:tcPr>
          <w:p w14:paraId="0A201BB4" w14:textId="77777777" w:rsidR="00607E1A" w:rsidRPr="00B148C5" w:rsidRDefault="00607E1A" w:rsidP="0097553A">
            <w:pPr>
              <w:jc w:val="right"/>
              <w:rPr>
                <w:rFonts w:ascii="Arial" w:hAnsi="Arial" w:cs="Arial"/>
                <w:sz w:val="16"/>
                <w:szCs w:val="16"/>
              </w:rPr>
            </w:pPr>
            <w:r w:rsidRPr="00B148C5">
              <w:rPr>
                <w:rFonts w:ascii="Arial" w:hAnsi="Arial" w:cs="Arial"/>
                <w:sz w:val="16"/>
                <w:szCs w:val="16"/>
              </w:rPr>
              <w:t xml:space="preserve">  1,348,397</w:t>
            </w:r>
          </w:p>
        </w:tc>
        <w:tc>
          <w:tcPr>
            <w:tcW w:w="1559" w:type="dxa"/>
            <w:tcBorders>
              <w:top w:val="nil"/>
              <w:left w:val="nil"/>
              <w:bottom w:val="nil"/>
              <w:right w:val="single" w:sz="4" w:space="0" w:color="000000"/>
            </w:tcBorders>
            <w:shd w:val="clear" w:color="auto" w:fill="auto"/>
          </w:tcPr>
          <w:p w14:paraId="0CD372E1" w14:textId="34E6D005" w:rsidR="00607E1A" w:rsidRPr="00AB42F3" w:rsidRDefault="00607E1A" w:rsidP="0097553A">
            <w:pPr>
              <w:jc w:val="right"/>
              <w:rPr>
                <w:rFonts w:ascii="Arial" w:hAnsi="Arial" w:cs="Arial"/>
                <w:bCs/>
                <w:sz w:val="16"/>
                <w:szCs w:val="16"/>
              </w:rPr>
            </w:pPr>
            <w:r w:rsidRPr="00AB42F3">
              <w:rPr>
                <w:rFonts w:ascii="Arial" w:hAnsi="Arial" w:cs="Arial"/>
                <w:bCs/>
                <w:sz w:val="16"/>
                <w:szCs w:val="16"/>
              </w:rPr>
              <w:t xml:space="preserve">  2,9</w:t>
            </w:r>
            <w:r w:rsidR="008553E5" w:rsidRPr="00AB42F3">
              <w:rPr>
                <w:rFonts w:ascii="Arial" w:hAnsi="Arial" w:cs="Arial"/>
                <w:bCs/>
                <w:sz w:val="16"/>
                <w:szCs w:val="16"/>
              </w:rPr>
              <w:t>5</w:t>
            </w:r>
            <w:r w:rsidRPr="00AB42F3">
              <w:rPr>
                <w:rFonts w:ascii="Arial" w:hAnsi="Arial" w:cs="Arial"/>
                <w:bCs/>
                <w:sz w:val="16"/>
                <w:szCs w:val="16"/>
              </w:rPr>
              <w:t>3,698</w:t>
            </w:r>
          </w:p>
        </w:tc>
      </w:tr>
      <w:tr w:rsidR="00607E1A" w:rsidRPr="00996036" w14:paraId="51BA6E64" w14:textId="77777777" w:rsidTr="0097553A">
        <w:trPr>
          <w:trHeight w:val="252"/>
        </w:trPr>
        <w:tc>
          <w:tcPr>
            <w:tcW w:w="4010" w:type="dxa"/>
            <w:tcBorders>
              <w:top w:val="nil"/>
              <w:left w:val="single" w:sz="4" w:space="0" w:color="000000"/>
              <w:bottom w:val="nil"/>
              <w:right w:val="single" w:sz="4" w:space="0" w:color="000000"/>
            </w:tcBorders>
            <w:shd w:val="clear" w:color="auto" w:fill="auto"/>
            <w:hideMark/>
          </w:tcPr>
          <w:p w14:paraId="19F4114D" w14:textId="77777777" w:rsidR="00607E1A" w:rsidRPr="00996036" w:rsidRDefault="00607E1A" w:rsidP="0097553A">
            <w:pPr>
              <w:rPr>
                <w:rFonts w:ascii="Arial" w:hAnsi="Arial" w:cs="Arial"/>
                <w:sz w:val="16"/>
                <w:szCs w:val="16"/>
                <w:lang w:val="en-US"/>
              </w:rPr>
            </w:pPr>
            <w:r w:rsidRPr="00996036">
              <w:rPr>
                <w:rFonts w:ascii="Arial" w:hAnsi="Arial" w:cs="Arial"/>
                <w:sz w:val="16"/>
                <w:szCs w:val="16"/>
                <w:lang w:val="en-US"/>
              </w:rPr>
              <w:t>Flow-through interest penalty</w:t>
            </w:r>
          </w:p>
        </w:tc>
        <w:tc>
          <w:tcPr>
            <w:tcW w:w="1701" w:type="dxa"/>
            <w:tcBorders>
              <w:top w:val="nil"/>
              <w:left w:val="nil"/>
              <w:bottom w:val="nil"/>
              <w:right w:val="single" w:sz="4" w:space="0" w:color="000000"/>
            </w:tcBorders>
            <w:shd w:val="clear" w:color="auto" w:fill="auto"/>
            <w:hideMark/>
          </w:tcPr>
          <w:p w14:paraId="43487E9B" w14:textId="77777777" w:rsidR="00607E1A" w:rsidRPr="00123610" w:rsidRDefault="00607E1A" w:rsidP="0097553A">
            <w:pPr>
              <w:jc w:val="right"/>
              <w:rPr>
                <w:rFonts w:ascii="Arial" w:hAnsi="Arial" w:cs="Arial"/>
                <w:sz w:val="16"/>
                <w:szCs w:val="16"/>
                <w:lang w:val="en-US"/>
              </w:rPr>
            </w:pPr>
            <w:r w:rsidRPr="00123610">
              <w:rPr>
                <w:rFonts w:ascii="Arial" w:hAnsi="Arial" w:cs="Arial"/>
                <w:sz w:val="16"/>
                <w:szCs w:val="16"/>
              </w:rPr>
              <w:t xml:space="preserve">  1,853</w:t>
            </w:r>
          </w:p>
        </w:tc>
        <w:tc>
          <w:tcPr>
            <w:tcW w:w="1559" w:type="dxa"/>
            <w:tcBorders>
              <w:top w:val="nil"/>
              <w:left w:val="nil"/>
              <w:bottom w:val="nil"/>
              <w:right w:val="single" w:sz="4" w:space="0" w:color="000000"/>
            </w:tcBorders>
            <w:shd w:val="clear" w:color="auto" w:fill="auto"/>
            <w:hideMark/>
          </w:tcPr>
          <w:p w14:paraId="4F2DCCA9" w14:textId="77777777" w:rsidR="00607E1A" w:rsidRPr="00123610" w:rsidRDefault="00607E1A" w:rsidP="0097553A">
            <w:pPr>
              <w:jc w:val="right"/>
              <w:rPr>
                <w:rFonts w:ascii="Arial" w:hAnsi="Arial" w:cs="Arial"/>
                <w:sz w:val="16"/>
                <w:szCs w:val="16"/>
                <w:lang w:val="en-US"/>
              </w:rPr>
            </w:pPr>
            <w:r w:rsidRPr="00123610">
              <w:rPr>
                <w:rFonts w:ascii="Arial" w:hAnsi="Arial" w:cs="Arial"/>
                <w:sz w:val="16"/>
                <w:szCs w:val="16"/>
              </w:rPr>
              <w:t xml:space="preserve"> -   </w:t>
            </w:r>
          </w:p>
        </w:tc>
        <w:tc>
          <w:tcPr>
            <w:tcW w:w="1559" w:type="dxa"/>
            <w:tcBorders>
              <w:top w:val="nil"/>
              <w:left w:val="nil"/>
              <w:bottom w:val="nil"/>
              <w:right w:val="single" w:sz="4" w:space="0" w:color="000000"/>
            </w:tcBorders>
            <w:shd w:val="clear" w:color="auto" w:fill="auto"/>
            <w:hideMark/>
          </w:tcPr>
          <w:p w14:paraId="2B114CC2" w14:textId="77777777" w:rsidR="00607E1A" w:rsidRPr="00AB42F3" w:rsidRDefault="00607E1A" w:rsidP="0097553A">
            <w:pPr>
              <w:jc w:val="right"/>
              <w:rPr>
                <w:rFonts w:ascii="Arial" w:hAnsi="Arial" w:cs="Arial"/>
                <w:bCs/>
                <w:sz w:val="16"/>
                <w:szCs w:val="16"/>
                <w:lang w:val="en-US"/>
              </w:rPr>
            </w:pPr>
            <w:r w:rsidRPr="00AB42F3">
              <w:rPr>
                <w:rFonts w:ascii="Arial" w:hAnsi="Arial" w:cs="Arial"/>
                <w:bCs/>
                <w:sz w:val="16"/>
                <w:szCs w:val="16"/>
              </w:rPr>
              <w:t xml:space="preserve">  1,853</w:t>
            </w:r>
          </w:p>
        </w:tc>
      </w:tr>
      <w:tr w:rsidR="00607E1A" w:rsidRPr="00996036" w14:paraId="4F488020" w14:textId="77777777" w:rsidTr="0097553A">
        <w:trPr>
          <w:trHeight w:val="252"/>
        </w:trPr>
        <w:tc>
          <w:tcPr>
            <w:tcW w:w="4010" w:type="dxa"/>
            <w:tcBorders>
              <w:top w:val="nil"/>
              <w:left w:val="single" w:sz="4" w:space="0" w:color="000000"/>
              <w:bottom w:val="nil"/>
              <w:right w:val="single" w:sz="4" w:space="0" w:color="000000"/>
            </w:tcBorders>
            <w:shd w:val="clear" w:color="auto" w:fill="auto"/>
            <w:hideMark/>
          </w:tcPr>
          <w:p w14:paraId="7829C9D7" w14:textId="77777777" w:rsidR="00607E1A" w:rsidRPr="00996036" w:rsidRDefault="00607E1A" w:rsidP="0097553A">
            <w:pPr>
              <w:rPr>
                <w:rFonts w:ascii="Arial" w:hAnsi="Arial" w:cs="Arial"/>
                <w:sz w:val="16"/>
                <w:szCs w:val="16"/>
                <w:lang w:val="en-US"/>
              </w:rPr>
            </w:pPr>
            <w:r w:rsidRPr="00996036">
              <w:rPr>
                <w:rFonts w:ascii="Arial" w:hAnsi="Arial" w:cs="Arial"/>
                <w:sz w:val="16"/>
                <w:szCs w:val="16"/>
                <w:lang w:val="en-US"/>
              </w:rPr>
              <w:t>General and administrative</w:t>
            </w:r>
          </w:p>
        </w:tc>
        <w:tc>
          <w:tcPr>
            <w:tcW w:w="1701" w:type="dxa"/>
            <w:tcBorders>
              <w:top w:val="nil"/>
              <w:left w:val="nil"/>
              <w:bottom w:val="nil"/>
              <w:right w:val="single" w:sz="4" w:space="0" w:color="000000"/>
            </w:tcBorders>
            <w:shd w:val="clear" w:color="auto" w:fill="auto"/>
            <w:noWrap/>
            <w:hideMark/>
          </w:tcPr>
          <w:p w14:paraId="7631434D" w14:textId="182E6819" w:rsidR="00607E1A" w:rsidRPr="00B148C5" w:rsidRDefault="00607E1A" w:rsidP="0097553A">
            <w:pPr>
              <w:jc w:val="right"/>
              <w:rPr>
                <w:rFonts w:ascii="Arial" w:hAnsi="Arial" w:cs="Arial"/>
                <w:color w:val="000000"/>
                <w:sz w:val="16"/>
                <w:szCs w:val="16"/>
                <w:lang w:val="en-US"/>
              </w:rPr>
            </w:pPr>
            <w:r w:rsidRPr="00B148C5">
              <w:rPr>
                <w:rFonts w:ascii="Arial" w:hAnsi="Arial" w:cs="Arial"/>
                <w:sz w:val="16"/>
                <w:szCs w:val="16"/>
              </w:rPr>
              <w:t xml:space="preserve">  70</w:t>
            </w:r>
            <w:r w:rsidR="001D5D85">
              <w:rPr>
                <w:rFonts w:ascii="Arial" w:hAnsi="Arial" w:cs="Arial"/>
                <w:sz w:val="16"/>
                <w:szCs w:val="16"/>
              </w:rPr>
              <w:t>5,447</w:t>
            </w:r>
          </w:p>
        </w:tc>
        <w:tc>
          <w:tcPr>
            <w:tcW w:w="1559" w:type="dxa"/>
            <w:tcBorders>
              <w:top w:val="nil"/>
              <w:left w:val="nil"/>
              <w:bottom w:val="nil"/>
              <w:right w:val="single" w:sz="4" w:space="0" w:color="000000"/>
            </w:tcBorders>
            <w:shd w:val="clear" w:color="auto" w:fill="auto"/>
            <w:noWrap/>
            <w:hideMark/>
          </w:tcPr>
          <w:p w14:paraId="5AEFC719" w14:textId="24AF969B" w:rsidR="00607E1A" w:rsidRPr="00B148C5" w:rsidRDefault="001D5D85" w:rsidP="0097553A">
            <w:pPr>
              <w:jc w:val="right"/>
              <w:rPr>
                <w:rFonts w:ascii="Arial" w:hAnsi="Arial" w:cs="Arial"/>
                <w:color w:val="000000"/>
                <w:sz w:val="16"/>
                <w:szCs w:val="16"/>
                <w:lang w:val="en-US"/>
              </w:rPr>
            </w:pPr>
            <w:r>
              <w:rPr>
                <w:rFonts w:ascii="Arial" w:hAnsi="Arial" w:cs="Arial"/>
                <w:color w:val="000000"/>
                <w:sz w:val="16"/>
                <w:szCs w:val="16"/>
              </w:rPr>
              <w:t>299,861</w:t>
            </w:r>
          </w:p>
        </w:tc>
        <w:tc>
          <w:tcPr>
            <w:tcW w:w="1559" w:type="dxa"/>
            <w:tcBorders>
              <w:top w:val="nil"/>
              <w:left w:val="nil"/>
              <w:bottom w:val="nil"/>
              <w:right w:val="single" w:sz="4" w:space="0" w:color="000000"/>
            </w:tcBorders>
            <w:shd w:val="clear" w:color="auto" w:fill="auto"/>
            <w:noWrap/>
            <w:hideMark/>
          </w:tcPr>
          <w:p w14:paraId="3BB5FA1A" w14:textId="74D2B77F" w:rsidR="00607E1A" w:rsidRPr="00AB42F3" w:rsidRDefault="00607E1A" w:rsidP="0097553A">
            <w:pPr>
              <w:jc w:val="right"/>
              <w:rPr>
                <w:rFonts w:ascii="Arial" w:hAnsi="Arial" w:cs="Arial"/>
                <w:bCs/>
                <w:color w:val="000000"/>
                <w:sz w:val="16"/>
                <w:szCs w:val="16"/>
                <w:lang w:val="en-US"/>
              </w:rPr>
            </w:pPr>
            <w:r w:rsidRPr="00AB42F3">
              <w:rPr>
                <w:rFonts w:ascii="Arial" w:hAnsi="Arial" w:cs="Arial"/>
                <w:bCs/>
                <w:sz w:val="16"/>
                <w:szCs w:val="16"/>
              </w:rPr>
              <w:t xml:space="preserve">   1,00</w:t>
            </w:r>
            <w:r w:rsidR="008553E5" w:rsidRPr="00AB42F3">
              <w:rPr>
                <w:rFonts w:ascii="Arial" w:hAnsi="Arial" w:cs="Arial"/>
                <w:bCs/>
                <w:sz w:val="16"/>
                <w:szCs w:val="16"/>
              </w:rPr>
              <w:t>5</w:t>
            </w:r>
            <w:r w:rsidRPr="00AB42F3">
              <w:rPr>
                <w:rFonts w:ascii="Arial" w:hAnsi="Arial" w:cs="Arial"/>
                <w:bCs/>
                <w:sz w:val="16"/>
                <w:szCs w:val="16"/>
              </w:rPr>
              <w:t>,</w:t>
            </w:r>
            <w:r w:rsidR="008553E5" w:rsidRPr="00AB42F3">
              <w:rPr>
                <w:rFonts w:ascii="Arial" w:hAnsi="Arial" w:cs="Arial"/>
                <w:bCs/>
                <w:sz w:val="16"/>
                <w:szCs w:val="16"/>
              </w:rPr>
              <w:t>30</w:t>
            </w:r>
            <w:r w:rsidRPr="00AB42F3">
              <w:rPr>
                <w:rFonts w:ascii="Arial" w:hAnsi="Arial" w:cs="Arial"/>
                <w:bCs/>
                <w:sz w:val="16"/>
                <w:szCs w:val="16"/>
              </w:rPr>
              <w:t>8</w:t>
            </w:r>
          </w:p>
        </w:tc>
      </w:tr>
      <w:tr w:rsidR="00607E1A" w:rsidRPr="00996036" w14:paraId="13603804" w14:textId="77777777" w:rsidTr="0097553A">
        <w:trPr>
          <w:trHeight w:val="252"/>
        </w:trPr>
        <w:tc>
          <w:tcPr>
            <w:tcW w:w="4010" w:type="dxa"/>
            <w:tcBorders>
              <w:top w:val="nil"/>
              <w:left w:val="single" w:sz="4" w:space="0" w:color="000000"/>
              <w:bottom w:val="nil"/>
              <w:right w:val="single" w:sz="4" w:space="0" w:color="000000"/>
            </w:tcBorders>
            <w:shd w:val="clear" w:color="auto" w:fill="auto"/>
            <w:hideMark/>
          </w:tcPr>
          <w:p w14:paraId="2B682CCF" w14:textId="77777777" w:rsidR="00607E1A" w:rsidRPr="00996036" w:rsidRDefault="00607E1A" w:rsidP="0097553A">
            <w:pPr>
              <w:rPr>
                <w:rFonts w:ascii="Arial" w:hAnsi="Arial" w:cs="Arial"/>
                <w:sz w:val="16"/>
                <w:szCs w:val="16"/>
                <w:lang w:val="en-US"/>
              </w:rPr>
            </w:pPr>
            <w:r w:rsidRPr="00996036">
              <w:rPr>
                <w:rFonts w:ascii="Arial" w:hAnsi="Arial" w:cs="Arial"/>
                <w:sz w:val="16"/>
                <w:szCs w:val="16"/>
                <w:lang w:val="en-US"/>
              </w:rPr>
              <w:t>Professional fees</w:t>
            </w:r>
          </w:p>
        </w:tc>
        <w:tc>
          <w:tcPr>
            <w:tcW w:w="1701" w:type="dxa"/>
            <w:tcBorders>
              <w:top w:val="nil"/>
              <w:left w:val="nil"/>
              <w:bottom w:val="nil"/>
              <w:right w:val="single" w:sz="4" w:space="0" w:color="000000"/>
            </w:tcBorders>
            <w:shd w:val="clear" w:color="auto" w:fill="auto"/>
            <w:noWrap/>
            <w:hideMark/>
          </w:tcPr>
          <w:p w14:paraId="568BCB3A" w14:textId="29510DB3" w:rsidR="00607E1A" w:rsidRPr="00B148C5" w:rsidRDefault="00607E1A" w:rsidP="0097553A">
            <w:pPr>
              <w:jc w:val="right"/>
              <w:rPr>
                <w:rFonts w:ascii="Arial" w:hAnsi="Arial" w:cs="Arial"/>
                <w:color w:val="000000"/>
                <w:sz w:val="16"/>
                <w:szCs w:val="16"/>
                <w:lang w:val="en-US"/>
              </w:rPr>
            </w:pPr>
            <w:r w:rsidRPr="00B148C5">
              <w:rPr>
                <w:rFonts w:ascii="Arial" w:hAnsi="Arial" w:cs="Arial"/>
                <w:sz w:val="16"/>
                <w:szCs w:val="16"/>
              </w:rPr>
              <w:t>7</w:t>
            </w:r>
            <w:r w:rsidR="001D5D85">
              <w:rPr>
                <w:rFonts w:ascii="Arial" w:hAnsi="Arial" w:cs="Arial"/>
                <w:sz w:val="16"/>
                <w:szCs w:val="16"/>
              </w:rPr>
              <w:t>5,046</w:t>
            </w:r>
          </w:p>
        </w:tc>
        <w:tc>
          <w:tcPr>
            <w:tcW w:w="1559" w:type="dxa"/>
            <w:tcBorders>
              <w:top w:val="nil"/>
              <w:left w:val="nil"/>
              <w:bottom w:val="nil"/>
              <w:right w:val="single" w:sz="4" w:space="0" w:color="000000"/>
            </w:tcBorders>
            <w:shd w:val="clear" w:color="auto" w:fill="auto"/>
            <w:noWrap/>
            <w:hideMark/>
          </w:tcPr>
          <w:p w14:paraId="4C005B98" w14:textId="1DFB0512" w:rsidR="00607E1A" w:rsidRPr="00B148C5" w:rsidRDefault="001D5D85" w:rsidP="0097553A">
            <w:pPr>
              <w:jc w:val="right"/>
              <w:rPr>
                <w:rFonts w:ascii="Arial" w:hAnsi="Arial" w:cs="Arial"/>
                <w:color w:val="000000"/>
                <w:sz w:val="16"/>
                <w:szCs w:val="16"/>
                <w:lang w:val="en-US"/>
              </w:rPr>
            </w:pPr>
            <w:r>
              <w:rPr>
                <w:rFonts w:ascii="Arial" w:hAnsi="Arial" w:cs="Arial"/>
                <w:sz w:val="16"/>
                <w:szCs w:val="16"/>
              </w:rPr>
              <w:t>1,194</w:t>
            </w:r>
            <w:r w:rsidR="00607E1A" w:rsidRPr="00B148C5">
              <w:rPr>
                <w:rFonts w:ascii="Arial" w:hAnsi="Arial" w:cs="Arial"/>
                <w:sz w:val="16"/>
                <w:szCs w:val="16"/>
              </w:rPr>
              <w:t xml:space="preserve"> </w:t>
            </w:r>
          </w:p>
        </w:tc>
        <w:tc>
          <w:tcPr>
            <w:tcW w:w="1559" w:type="dxa"/>
            <w:tcBorders>
              <w:top w:val="nil"/>
              <w:left w:val="nil"/>
              <w:bottom w:val="nil"/>
              <w:right w:val="single" w:sz="4" w:space="0" w:color="000000"/>
            </w:tcBorders>
            <w:shd w:val="clear" w:color="auto" w:fill="auto"/>
            <w:noWrap/>
            <w:hideMark/>
          </w:tcPr>
          <w:p w14:paraId="44C6A2CC" w14:textId="31A55A3C" w:rsidR="00607E1A" w:rsidRPr="00AB42F3" w:rsidRDefault="00607E1A" w:rsidP="0097553A">
            <w:pPr>
              <w:jc w:val="right"/>
              <w:rPr>
                <w:rFonts w:ascii="Arial" w:hAnsi="Arial" w:cs="Arial"/>
                <w:bCs/>
                <w:color w:val="000000"/>
                <w:sz w:val="16"/>
                <w:szCs w:val="16"/>
                <w:lang w:val="en-US"/>
              </w:rPr>
            </w:pPr>
            <w:r w:rsidRPr="00AB42F3">
              <w:rPr>
                <w:rFonts w:ascii="Arial" w:hAnsi="Arial" w:cs="Arial"/>
                <w:bCs/>
                <w:sz w:val="16"/>
                <w:szCs w:val="16"/>
              </w:rPr>
              <w:t>7</w:t>
            </w:r>
            <w:r w:rsidR="008553E5" w:rsidRPr="00AB42F3">
              <w:rPr>
                <w:rFonts w:ascii="Arial" w:hAnsi="Arial" w:cs="Arial"/>
                <w:bCs/>
                <w:sz w:val="16"/>
                <w:szCs w:val="16"/>
              </w:rPr>
              <w:t>6,24</w:t>
            </w:r>
            <w:r w:rsidRPr="00AB42F3">
              <w:rPr>
                <w:rFonts w:ascii="Arial" w:hAnsi="Arial" w:cs="Arial"/>
                <w:bCs/>
                <w:sz w:val="16"/>
                <w:szCs w:val="16"/>
              </w:rPr>
              <w:t>0</w:t>
            </w:r>
          </w:p>
        </w:tc>
      </w:tr>
      <w:tr w:rsidR="00607E1A" w:rsidRPr="00996036" w14:paraId="1301D823" w14:textId="77777777" w:rsidTr="0097553A">
        <w:trPr>
          <w:trHeight w:val="252"/>
        </w:trPr>
        <w:tc>
          <w:tcPr>
            <w:tcW w:w="4010" w:type="dxa"/>
            <w:tcBorders>
              <w:top w:val="nil"/>
              <w:left w:val="single" w:sz="4" w:space="0" w:color="000000"/>
              <w:bottom w:val="nil"/>
              <w:right w:val="single" w:sz="4" w:space="0" w:color="000000"/>
            </w:tcBorders>
            <w:shd w:val="clear" w:color="auto" w:fill="auto"/>
            <w:hideMark/>
          </w:tcPr>
          <w:p w14:paraId="6D51A500" w14:textId="77777777" w:rsidR="00607E1A" w:rsidRPr="00996036" w:rsidRDefault="00607E1A" w:rsidP="0097553A">
            <w:pPr>
              <w:rPr>
                <w:rFonts w:ascii="Arial" w:hAnsi="Arial" w:cs="Arial"/>
                <w:sz w:val="16"/>
                <w:szCs w:val="16"/>
                <w:lang w:val="en-US"/>
              </w:rPr>
            </w:pPr>
            <w:r w:rsidRPr="00996036">
              <w:rPr>
                <w:rFonts w:ascii="Arial" w:hAnsi="Arial" w:cs="Arial"/>
                <w:sz w:val="16"/>
                <w:szCs w:val="16"/>
                <w:lang w:val="en-US"/>
              </w:rPr>
              <w:t>Share-based payments</w:t>
            </w:r>
          </w:p>
        </w:tc>
        <w:tc>
          <w:tcPr>
            <w:tcW w:w="1701" w:type="dxa"/>
            <w:tcBorders>
              <w:top w:val="nil"/>
              <w:left w:val="nil"/>
              <w:bottom w:val="nil"/>
              <w:right w:val="single" w:sz="4" w:space="0" w:color="000000"/>
            </w:tcBorders>
            <w:shd w:val="clear" w:color="auto" w:fill="auto"/>
            <w:noWrap/>
            <w:hideMark/>
          </w:tcPr>
          <w:p w14:paraId="7033F000" w14:textId="77777777" w:rsidR="00607E1A" w:rsidRPr="00123610" w:rsidRDefault="00607E1A" w:rsidP="0097553A">
            <w:pPr>
              <w:jc w:val="right"/>
              <w:rPr>
                <w:rFonts w:ascii="Arial" w:hAnsi="Arial" w:cs="Arial"/>
                <w:color w:val="000000"/>
                <w:sz w:val="16"/>
                <w:szCs w:val="16"/>
                <w:lang w:val="en-US"/>
              </w:rPr>
            </w:pPr>
            <w:r w:rsidRPr="00123610">
              <w:rPr>
                <w:rFonts w:ascii="Arial" w:hAnsi="Arial" w:cs="Arial"/>
                <w:sz w:val="16"/>
                <w:szCs w:val="16"/>
              </w:rPr>
              <w:t xml:space="preserve">  405,849</w:t>
            </w:r>
          </w:p>
        </w:tc>
        <w:tc>
          <w:tcPr>
            <w:tcW w:w="1559" w:type="dxa"/>
            <w:tcBorders>
              <w:top w:val="nil"/>
              <w:left w:val="nil"/>
              <w:bottom w:val="nil"/>
              <w:right w:val="single" w:sz="4" w:space="0" w:color="000000"/>
            </w:tcBorders>
            <w:shd w:val="clear" w:color="auto" w:fill="auto"/>
            <w:hideMark/>
          </w:tcPr>
          <w:p w14:paraId="138B2BB6" w14:textId="77777777" w:rsidR="00607E1A" w:rsidRPr="00123610" w:rsidRDefault="00607E1A" w:rsidP="0097553A">
            <w:pPr>
              <w:jc w:val="right"/>
              <w:rPr>
                <w:rFonts w:ascii="Arial" w:hAnsi="Arial" w:cs="Arial"/>
                <w:sz w:val="16"/>
                <w:szCs w:val="16"/>
                <w:lang w:val="en-US"/>
              </w:rPr>
            </w:pPr>
            <w:r w:rsidRPr="00123610">
              <w:rPr>
                <w:rFonts w:ascii="Arial" w:hAnsi="Arial" w:cs="Arial"/>
                <w:sz w:val="16"/>
                <w:szCs w:val="16"/>
              </w:rPr>
              <w:t xml:space="preserve"> -   </w:t>
            </w:r>
          </w:p>
        </w:tc>
        <w:tc>
          <w:tcPr>
            <w:tcW w:w="1559" w:type="dxa"/>
            <w:tcBorders>
              <w:top w:val="nil"/>
              <w:left w:val="nil"/>
              <w:bottom w:val="nil"/>
              <w:right w:val="single" w:sz="4" w:space="0" w:color="000000"/>
            </w:tcBorders>
            <w:shd w:val="clear" w:color="auto" w:fill="auto"/>
            <w:hideMark/>
          </w:tcPr>
          <w:p w14:paraId="5D189465" w14:textId="77777777" w:rsidR="00607E1A" w:rsidRPr="00AB42F3" w:rsidRDefault="00607E1A" w:rsidP="0097553A">
            <w:pPr>
              <w:jc w:val="right"/>
              <w:rPr>
                <w:rFonts w:ascii="Arial" w:hAnsi="Arial" w:cs="Arial"/>
                <w:bCs/>
                <w:sz w:val="16"/>
                <w:szCs w:val="16"/>
                <w:lang w:val="en-US"/>
              </w:rPr>
            </w:pPr>
            <w:r w:rsidRPr="00AB42F3">
              <w:rPr>
                <w:rFonts w:ascii="Arial" w:hAnsi="Arial" w:cs="Arial"/>
                <w:bCs/>
                <w:sz w:val="16"/>
                <w:szCs w:val="16"/>
              </w:rPr>
              <w:t xml:space="preserve">  405,849</w:t>
            </w:r>
          </w:p>
        </w:tc>
      </w:tr>
      <w:tr w:rsidR="00607E1A" w:rsidRPr="00996036" w14:paraId="39A36671" w14:textId="77777777" w:rsidTr="0097553A">
        <w:trPr>
          <w:trHeight w:val="252"/>
        </w:trPr>
        <w:tc>
          <w:tcPr>
            <w:tcW w:w="4010" w:type="dxa"/>
            <w:tcBorders>
              <w:top w:val="nil"/>
              <w:left w:val="single" w:sz="4" w:space="0" w:color="000000"/>
              <w:bottom w:val="single" w:sz="4" w:space="0" w:color="auto"/>
              <w:right w:val="single" w:sz="4" w:space="0" w:color="000000"/>
            </w:tcBorders>
            <w:shd w:val="clear" w:color="auto" w:fill="auto"/>
            <w:hideMark/>
          </w:tcPr>
          <w:p w14:paraId="48CD6A57" w14:textId="77777777" w:rsidR="00607E1A" w:rsidRPr="00996036" w:rsidRDefault="00607E1A" w:rsidP="0097553A">
            <w:pPr>
              <w:rPr>
                <w:rFonts w:ascii="Arial" w:hAnsi="Arial" w:cs="Arial"/>
                <w:sz w:val="16"/>
                <w:szCs w:val="16"/>
                <w:lang w:val="en-US"/>
              </w:rPr>
            </w:pPr>
            <w:r w:rsidRPr="00996036">
              <w:rPr>
                <w:rFonts w:ascii="Arial" w:hAnsi="Arial" w:cs="Arial"/>
                <w:sz w:val="16"/>
                <w:szCs w:val="16"/>
                <w:lang w:val="en-US"/>
              </w:rPr>
              <w:t xml:space="preserve">Income </w:t>
            </w:r>
            <w:r>
              <w:rPr>
                <w:rFonts w:ascii="Arial" w:hAnsi="Arial" w:cs="Arial"/>
                <w:sz w:val="16"/>
                <w:szCs w:val="16"/>
                <w:lang w:val="en-US"/>
              </w:rPr>
              <w:t>t</w:t>
            </w:r>
            <w:r w:rsidRPr="00996036">
              <w:rPr>
                <w:rFonts w:ascii="Arial" w:hAnsi="Arial" w:cs="Arial"/>
                <w:sz w:val="16"/>
                <w:szCs w:val="16"/>
                <w:lang w:val="en-US"/>
              </w:rPr>
              <w:t xml:space="preserve">ax </w:t>
            </w:r>
            <w:r>
              <w:rPr>
                <w:rFonts w:ascii="Arial" w:hAnsi="Arial" w:cs="Arial"/>
                <w:sz w:val="16"/>
                <w:szCs w:val="16"/>
                <w:lang w:val="en-US"/>
              </w:rPr>
              <w:t>e</w:t>
            </w:r>
            <w:r w:rsidRPr="00996036">
              <w:rPr>
                <w:rFonts w:ascii="Arial" w:hAnsi="Arial" w:cs="Arial"/>
                <w:sz w:val="16"/>
                <w:szCs w:val="16"/>
                <w:lang w:val="en-US"/>
              </w:rPr>
              <w:t>xpense</w:t>
            </w:r>
          </w:p>
        </w:tc>
        <w:tc>
          <w:tcPr>
            <w:tcW w:w="1701" w:type="dxa"/>
            <w:tcBorders>
              <w:top w:val="nil"/>
              <w:left w:val="nil"/>
              <w:bottom w:val="single" w:sz="4" w:space="0" w:color="auto"/>
              <w:right w:val="single" w:sz="4" w:space="0" w:color="000000"/>
            </w:tcBorders>
            <w:shd w:val="clear" w:color="auto" w:fill="auto"/>
            <w:noWrap/>
            <w:hideMark/>
          </w:tcPr>
          <w:p w14:paraId="0B756B38" w14:textId="77777777" w:rsidR="00607E1A" w:rsidRPr="00123610" w:rsidRDefault="00607E1A" w:rsidP="0097553A">
            <w:pPr>
              <w:jc w:val="right"/>
              <w:rPr>
                <w:rFonts w:ascii="Arial" w:hAnsi="Arial" w:cs="Arial"/>
                <w:color w:val="000000"/>
                <w:sz w:val="16"/>
                <w:szCs w:val="16"/>
                <w:lang w:val="en-US"/>
              </w:rPr>
            </w:pPr>
            <w:r w:rsidRPr="00123610">
              <w:rPr>
                <w:rFonts w:ascii="Arial" w:hAnsi="Arial" w:cs="Arial"/>
                <w:sz w:val="16"/>
                <w:szCs w:val="16"/>
              </w:rPr>
              <w:t xml:space="preserve">32,909     </w:t>
            </w:r>
          </w:p>
        </w:tc>
        <w:tc>
          <w:tcPr>
            <w:tcW w:w="1559" w:type="dxa"/>
            <w:tcBorders>
              <w:top w:val="nil"/>
              <w:left w:val="nil"/>
              <w:bottom w:val="single" w:sz="4" w:space="0" w:color="auto"/>
              <w:right w:val="single" w:sz="4" w:space="0" w:color="000000"/>
            </w:tcBorders>
            <w:shd w:val="clear" w:color="auto" w:fill="auto"/>
            <w:hideMark/>
          </w:tcPr>
          <w:p w14:paraId="329EEE21" w14:textId="77777777" w:rsidR="00607E1A" w:rsidRPr="00123610" w:rsidRDefault="00607E1A" w:rsidP="0097553A">
            <w:pPr>
              <w:jc w:val="right"/>
              <w:rPr>
                <w:rFonts w:ascii="Arial" w:hAnsi="Arial" w:cs="Arial"/>
                <w:sz w:val="16"/>
                <w:szCs w:val="16"/>
                <w:lang w:val="en-US"/>
              </w:rPr>
            </w:pPr>
            <w:r w:rsidRPr="00123610">
              <w:rPr>
                <w:rFonts w:ascii="Arial" w:hAnsi="Arial" w:cs="Arial"/>
                <w:sz w:val="16"/>
                <w:szCs w:val="16"/>
              </w:rPr>
              <w:t xml:space="preserve"> (68,974)</w:t>
            </w:r>
          </w:p>
        </w:tc>
        <w:tc>
          <w:tcPr>
            <w:tcW w:w="1559" w:type="dxa"/>
            <w:tcBorders>
              <w:top w:val="nil"/>
              <w:left w:val="nil"/>
              <w:bottom w:val="nil"/>
              <w:right w:val="single" w:sz="4" w:space="0" w:color="000000"/>
            </w:tcBorders>
            <w:shd w:val="clear" w:color="auto" w:fill="auto"/>
            <w:hideMark/>
          </w:tcPr>
          <w:p w14:paraId="162236F7" w14:textId="77777777" w:rsidR="00607E1A" w:rsidRPr="00AB42F3" w:rsidRDefault="00607E1A" w:rsidP="0097553A">
            <w:pPr>
              <w:jc w:val="right"/>
              <w:rPr>
                <w:rFonts w:ascii="Arial" w:hAnsi="Arial" w:cs="Arial"/>
                <w:bCs/>
                <w:sz w:val="16"/>
                <w:szCs w:val="16"/>
                <w:lang w:val="en-US"/>
              </w:rPr>
            </w:pPr>
            <w:r w:rsidRPr="00AB42F3">
              <w:rPr>
                <w:rFonts w:ascii="Arial" w:hAnsi="Arial" w:cs="Arial"/>
                <w:bCs/>
                <w:sz w:val="16"/>
                <w:szCs w:val="16"/>
              </w:rPr>
              <w:t xml:space="preserve"> (36,065)</w:t>
            </w:r>
          </w:p>
        </w:tc>
      </w:tr>
      <w:tr w:rsidR="00607E1A" w:rsidRPr="00E91EDA" w14:paraId="170ADF8E" w14:textId="77777777" w:rsidTr="0097553A">
        <w:trPr>
          <w:trHeight w:val="252"/>
        </w:trPr>
        <w:tc>
          <w:tcPr>
            <w:tcW w:w="4010" w:type="dxa"/>
            <w:tcBorders>
              <w:top w:val="nil"/>
              <w:left w:val="single" w:sz="4" w:space="0" w:color="000000"/>
              <w:bottom w:val="single" w:sz="4" w:space="0" w:color="000000"/>
              <w:right w:val="single" w:sz="4" w:space="0" w:color="000000"/>
            </w:tcBorders>
            <w:shd w:val="clear" w:color="auto" w:fill="auto"/>
            <w:hideMark/>
          </w:tcPr>
          <w:p w14:paraId="4C9DC62E" w14:textId="77777777" w:rsidR="00607E1A" w:rsidRPr="00996036" w:rsidRDefault="00607E1A" w:rsidP="0097553A">
            <w:pPr>
              <w:rPr>
                <w:rFonts w:ascii="Arial" w:hAnsi="Arial" w:cs="Arial"/>
                <w:b/>
                <w:bCs/>
                <w:sz w:val="16"/>
                <w:szCs w:val="16"/>
                <w:lang w:val="en-US"/>
              </w:rPr>
            </w:pPr>
            <w:r w:rsidRPr="00996036">
              <w:rPr>
                <w:rFonts w:ascii="Arial" w:hAnsi="Arial" w:cs="Arial"/>
                <w:b/>
                <w:bCs/>
                <w:sz w:val="16"/>
                <w:szCs w:val="16"/>
                <w:lang w:val="en-US"/>
              </w:rPr>
              <w:t>Total</w:t>
            </w:r>
          </w:p>
        </w:tc>
        <w:tc>
          <w:tcPr>
            <w:tcW w:w="1701" w:type="dxa"/>
            <w:tcBorders>
              <w:top w:val="nil"/>
              <w:left w:val="nil"/>
              <w:bottom w:val="single" w:sz="4" w:space="0" w:color="000000"/>
              <w:right w:val="single" w:sz="4" w:space="0" w:color="000000"/>
            </w:tcBorders>
            <w:shd w:val="clear" w:color="auto" w:fill="auto"/>
            <w:noWrap/>
            <w:hideMark/>
          </w:tcPr>
          <w:p w14:paraId="5BC8B757" w14:textId="56A75BE7" w:rsidR="00607E1A" w:rsidRPr="00123610" w:rsidRDefault="00607E1A" w:rsidP="0097553A">
            <w:pPr>
              <w:jc w:val="right"/>
              <w:rPr>
                <w:rFonts w:ascii="Arial" w:hAnsi="Arial" w:cs="Arial"/>
                <w:b/>
                <w:bCs/>
                <w:color w:val="000000"/>
                <w:sz w:val="16"/>
                <w:szCs w:val="16"/>
                <w:lang w:val="en-US"/>
              </w:rPr>
            </w:pPr>
            <w:r w:rsidRPr="00123610">
              <w:rPr>
                <w:rFonts w:ascii="Arial" w:hAnsi="Arial" w:cs="Arial"/>
                <w:b/>
                <w:bCs/>
                <w:color w:val="000000"/>
                <w:sz w:val="16"/>
                <w:szCs w:val="16"/>
              </w:rPr>
              <w:t xml:space="preserve">  2,</w:t>
            </w:r>
            <w:r w:rsidR="001D5D85">
              <w:rPr>
                <w:rFonts w:ascii="Arial" w:hAnsi="Arial" w:cs="Arial"/>
                <w:b/>
                <w:bCs/>
                <w:color w:val="000000"/>
                <w:sz w:val="16"/>
                <w:szCs w:val="16"/>
              </w:rPr>
              <w:t>71</w:t>
            </w:r>
            <w:r w:rsidRPr="00123610">
              <w:rPr>
                <w:rFonts w:ascii="Arial" w:hAnsi="Arial" w:cs="Arial"/>
                <w:b/>
                <w:bCs/>
                <w:color w:val="000000"/>
                <w:sz w:val="16"/>
                <w:szCs w:val="16"/>
              </w:rPr>
              <w:t>2,235</w:t>
            </w:r>
          </w:p>
        </w:tc>
        <w:tc>
          <w:tcPr>
            <w:tcW w:w="1559" w:type="dxa"/>
            <w:tcBorders>
              <w:top w:val="nil"/>
              <w:left w:val="nil"/>
              <w:bottom w:val="single" w:sz="4" w:space="0" w:color="000000"/>
              <w:right w:val="single" w:sz="4" w:space="0" w:color="000000"/>
            </w:tcBorders>
            <w:shd w:val="clear" w:color="auto" w:fill="auto"/>
            <w:noWrap/>
            <w:hideMark/>
          </w:tcPr>
          <w:p w14:paraId="3E2E5C46" w14:textId="77777777" w:rsidR="00607E1A" w:rsidRPr="00123610" w:rsidRDefault="00607E1A" w:rsidP="0097553A">
            <w:pPr>
              <w:jc w:val="right"/>
              <w:rPr>
                <w:rFonts w:ascii="Arial" w:hAnsi="Arial" w:cs="Arial"/>
                <w:b/>
                <w:bCs/>
                <w:color w:val="000000"/>
                <w:sz w:val="16"/>
                <w:szCs w:val="16"/>
                <w:lang w:val="en-US"/>
              </w:rPr>
            </w:pPr>
            <w:r w:rsidRPr="00123610">
              <w:rPr>
                <w:rFonts w:ascii="Arial" w:hAnsi="Arial" w:cs="Arial"/>
                <w:b/>
                <w:bCs/>
                <w:color w:val="000000"/>
                <w:sz w:val="16"/>
                <w:szCs w:val="16"/>
              </w:rPr>
              <w:t>1,493,570</w:t>
            </w:r>
          </w:p>
        </w:tc>
        <w:tc>
          <w:tcPr>
            <w:tcW w:w="1559" w:type="dxa"/>
            <w:tcBorders>
              <w:top w:val="single" w:sz="4" w:space="0" w:color="auto"/>
              <w:left w:val="nil"/>
              <w:bottom w:val="single" w:sz="4" w:space="0" w:color="000000"/>
              <w:right w:val="single" w:sz="4" w:space="0" w:color="000000"/>
            </w:tcBorders>
            <w:shd w:val="clear" w:color="auto" w:fill="auto"/>
            <w:noWrap/>
            <w:hideMark/>
          </w:tcPr>
          <w:p w14:paraId="1396B0D7" w14:textId="2C4E9857" w:rsidR="00607E1A" w:rsidRPr="00AB42F3" w:rsidRDefault="00607E1A" w:rsidP="0097553A">
            <w:pPr>
              <w:jc w:val="right"/>
              <w:rPr>
                <w:rFonts w:ascii="Arial" w:hAnsi="Arial" w:cs="Arial"/>
                <w:bCs/>
                <w:color w:val="000000"/>
                <w:sz w:val="16"/>
                <w:szCs w:val="16"/>
                <w:lang w:val="en-US"/>
              </w:rPr>
            </w:pPr>
            <w:r w:rsidRPr="00AB42F3">
              <w:rPr>
                <w:rFonts w:ascii="Arial" w:hAnsi="Arial" w:cs="Arial"/>
                <w:bCs/>
                <w:color w:val="000000"/>
                <w:sz w:val="16"/>
                <w:szCs w:val="16"/>
              </w:rPr>
              <w:t xml:space="preserve">  4,</w:t>
            </w:r>
            <w:r w:rsidR="008553E5" w:rsidRPr="00AB42F3">
              <w:rPr>
                <w:rFonts w:ascii="Arial" w:hAnsi="Arial" w:cs="Arial"/>
                <w:bCs/>
                <w:color w:val="000000"/>
                <w:sz w:val="16"/>
                <w:szCs w:val="16"/>
              </w:rPr>
              <w:t>205</w:t>
            </w:r>
            <w:r w:rsidRPr="00AB42F3">
              <w:rPr>
                <w:rFonts w:ascii="Arial" w:hAnsi="Arial" w:cs="Arial"/>
                <w:bCs/>
                <w:color w:val="000000"/>
                <w:sz w:val="16"/>
                <w:szCs w:val="16"/>
              </w:rPr>
              <w:t>,805</w:t>
            </w:r>
          </w:p>
        </w:tc>
      </w:tr>
      <w:tr w:rsidR="00607E1A" w:rsidRPr="00996036" w14:paraId="3D1C9B11" w14:textId="77777777" w:rsidTr="0097553A">
        <w:trPr>
          <w:trHeight w:val="252"/>
        </w:trPr>
        <w:tc>
          <w:tcPr>
            <w:tcW w:w="4010" w:type="dxa"/>
            <w:tcBorders>
              <w:top w:val="nil"/>
              <w:left w:val="single" w:sz="4" w:space="0" w:color="000000"/>
              <w:bottom w:val="single" w:sz="4" w:space="0" w:color="000000"/>
              <w:right w:val="single" w:sz="4" w:space="0" w:color="000000"/>
            </w:tcBorders>
            <w:shd w:val="clear" w:color="auto" w:fill="auto"/>
            <w:hideMark/>
          </w:tcPr>
          <w:p w14:paraId="172F0DF3" w14:textId="77777777" w:rsidR="00607E1A" w:rsidRPr="00996036" w:rsidRDefault="00607E1A" w:rsidP="0097553A">
            <w:pPr>
              <w:rPr>
                <w:rFonts w:ascii="Arial" w:hAnsi="Arial" w:cs="Arial"/>
                <w:sz w:val="16"/>
                <w:szCs w:val="16"/>
                <w:lang w:val="en-US"/>
              </w:rPr>
            </w:pPr>
            <w:r w:rsidRPr="00996036">
              <w:rPr>
                <w:rFonts w:ascii="Arial" w:hAnsi="Arial" w:cs="Arial"/>
                <w:sz w:val="16"/>
                <w:szCs w:val="16"/>
                <w:lang w:val="en-US"/>
              </w:rPr>
              <w:t>Other items</w:t>
            </w:r>
          </w:p>
        </w:tc>
        <w:tc>
          <w:tcPr>
            <w:tcW w:w="1701" w:type="dxa"/>
            <w:tcBorders>
              <w:top w:val="nil"/>
              <w:left w:val="nil"/>
              <w:bottom w:val="single" w:sz="4" w:space="0" w:color="000000"/>
              <w:right w:val="single" w:sz="4" w:space="0" w:color="000000"/>
            </w:tcBorders>
            <w:shd w:val="clear" w:color="auto" w:fill="auto"/>
            <w:noWrap/>
            <w:hideMark/>
          </w:tcPr>
          <w:p w14:paraId="0336E212" w14:textId="77777777" w:rsidR="00607E1A" w:rsidRPr="00B148C5" w:rsidRDefault="00607E1A" w:rsidP="0097553A">
            <w:pPr>
              <w:jc w:val="right"/>
              <w:rPr>
                <w:rFonts w:ascii="Arial" w:hAnsi="Arial" w:cs="Arial"/>
                <w:color w:val="000000"/>
                <w:sz w:val="16"/>
                <w:szCs w:val="16"/>
                <w:lang w:val="en-US"/>
              </w:rPr>
            </w:pPr>
            <w:r w:rsidRPr="00B148C5">
              <w:rPr>
                <w:rFonts w:ascii="Arial" w:hAnsi="Arial" w:cs="Arial"/>
                <w:color w:val="000000"/>
                <w:sz w:val="16"/>
                <w:szCs w:val="16"/>
              </w:rPr>
              <w:t xml:space="preserve"> 246,021 </w:t>
            </w:r>
          </w:p>
        </w:tc>
        <w:tc>
          <w:tcPr>
            <w:tcW w:w="1559" w:type="dxa"/>
            <w:tcBorders>
              <w:top w:val="nil"/>
              <w:left w:val="nil"/>
              <w:bottom w:val="single" w:sz="4" w:space="0" w:color="000000"/>
              <w:right w:val="single" w:sz="4" w:space="0" w:color="000000"/>
            </w:tcBorders>
            <w:shd w:val="clear" w:color="auto" w:fill="auto"/>
            <w:noWrap/>
            <w:hideMark/>
          </w:tcPr>
          <w:p w14:paraId="6B8B8841" w14:textId="77777777" w:rsidR="00607E1A" w:rsidRPr="00B148C5" w:rsidRDefault="00607E1A" w:rsidP="0097553A">
            <w:pPr>
              <w:jc w:val="right"/>
              <w:rPr>
                <w:rFonts w:ascii="Arial" w:hAnsi="Arial" w:cs="Arial"/>
                <w:color w:val="000000"/>
                <w:sz w:val="16"/>
                <w:szCs w:val="16"/>
                <w:lang w:val="en-US"/>
              </w:rPr>
            </w:pPr>
            <w:r w:rsidRPr="00B148C5">
              <w:rPr>
                <w:rFonts w:ascii="Arial" w:hAnsi="Arial" w:cs="Arial"/>
                <w:color w:val="000000"/>
                <w:sz w:val="16"/>
                <w:szCs w:val="16"/>
              </w:rPr>
              <w:t xml:space="preserve"> 1,272,444 </w:t>
            </w:r>
          </w:p>
        </w:tc>
        <w:tc>
          <w:tcPr>
            <w:tcW w:w="1559" w:type="dxa"/>
            <w:tcBorders>
              <w:top w:val="nil"/>
              <w:left w:val="nil"/>
              <w:bottom w:val="single" w:sz="4" w:space="0" w:color="000000"/>
              <w:right w:val="single" w:sz="4" w:space="0" w:color="000000"/>
            </w:tcBorders>
            <w:shd w:val="clear" w:color="auto" w:fill="auto"/>
            <w:noWrap/>
            <w:hideMark/>
          </w:tcPr>
          <w:p w14:paraId="62F71CE6" w14:textId="77777777" w:rsidR="00607E1A" w:rsidRPr="00AB42F3" w:rsidRDefault="00607E1A" w:rsidP="0097553A">
            <w:pPr>
              <w:jc w:val="right"/>
              <w:rPr>
                <w:rFonts w:ascii="Arial" w:hAnsi="Arial" w:cs="Arial"/>
                <w:bCs/>
                <w:color w:val="000000"/>
                <w:sz w:val="16"/>
                <w:szCs w:val="16"/>
                <w:lang w:val="en-US"/>
              </w:rPr>
            </w:pPr>
            <w:r w:rsidRPr="00AB42F3">
              <w:rPr>
                <w:rFonts w:ascii="Arial" w:hAnsi="Arial" w:cs="Arial"/>
                <w:bCs/>
                <w:color w:val="000000"/>
                <w:sz w:val="16"/>
                <w:szCs w:val="16"/>
              </w:rPr>
              <w:t xml:space="preserve"> 1,518,465 </w:t>
            </w:r>
          </w:p>
        </w:tc>
      </w:tr>
      <w:tr w:rsidR="00607E1A" w:rsidRPr="00E91EDA" w14:paraId="3AA7B689" w14:textId="77777777" w:rsidTr="0097553A">
        <w:trPr>
          <w:trHeight w:val="252"/>
        </w:trPr>
        <w:tc>
          <w:tcPr>
            <w:tcW w:w="4010" w:type="dxa"/>
            <w:tcBorders>
              <w:top w:val="nil"/>
              <w:left w:val="single" w:sz="4" w:space="0" w:color="000000"/>
              <w:bottom w:val="single" w:sz="4" w:space="0" w:color="000000"/>
              <w:right w:val="single" w:sz="4" w:space="0" w:color="000000"/>
            </w:tcBorders>
            <w:shd w:val="clear" w:color="auto" w:fill="auto"/>
            <w:hideMark/>
          </w:tcPr>
          <w:p w14:paraId="0D75AA27" w14:textId="3C63C3BE" w:rsidR="00607E1A" w:rsidRPr="00996036" w:rsidRDefault="00607E1A" w:rsidP="0097553A">
            <w:pPr>
              <w:rPr>
                <w:rFonts w:ascii="Arial" w:hAnsi="Arial" w:cs="Arial"/>
                <w:b/>
                <w:bCs/>
                <w:sz w:val="16"/>
                <w:szCs w:val="16"/>
                <w:lang w:val="en-US"/>
              </w:rPr>
            </w:pPr>
            <w:r w:rsidRPr="00996036">
              <w:rPr>
                <w:rFonts w:ascii="Arial" w:hAnsi="Arial" w:cs="Arial"/>
                <w:b/>
                <w:bCs/>
                <w:sz w:val="16"/>
                <w:szCs w:val="16"/>
                <w:lang w:val="en-US"/>
              </w:rPr>
              <w:t>Loss for the year</w:t>
            </w:r>
          </w:p>
        </w:tc>
        <w:tc>
          <w:tcPr>
            <w:tcW w:w="1701" w:type="dxa"/>
            <w:tcBorders>
              <w:top w:val="nil"/>
              <w:left w:val="nil"/>
              <w:bottom w:val="single" w:sz="4" w:space="0" w:color="000000"/>
              <w:right w:val="single" w:sz="4" w:space="0" w:color="000000"/>
            </w:tcBorders>
            <w:shd w:val="clear" w:color="auto" w:fill="auto"/>
            <w:noWrap/>
            <w:hideMark/>
          </w:tcPr>
          <w:p w14:paraId="760D5EE0" w14:textId="052E8090" w:rsidR="00607E1A" w:rsidRPr="00123610" w:rsidRDefault="00607E1A" w:rsidP="0097553A">
            <w:pPr>
              <w:jc w:val="right"/>
              <w:rPr>
                <w:rFonts w:ascii="Arial" w:hAnsi="Arial" w:cs="Arial"/>
                <w:b/>
                <w:bCs/>
                <w:color w:val="000000"/>
                <w:sz w:val="16"/>
                <w:szCs w:val="16"/>
                <w:lang w:val="en-US"/>
              </w:rPr>
            </w:pPr>
            <w:r w:rsidRPr="00123610">
              <w:rPr>
                <w:rFonts w:ascii="Arial" w:hAnsi="Arial" w:cs="Arial"/>
                <w:b/>
                <w:bCs/>
                <w:color w:val="000000"/>
                <w:sz w:val="16"/>
                <w:szCs w:val="16"/>
              </w:rPr>
              <w:t xml:space="preserve"> (2,4</w:t>
            </w:r>
            <w:r w:rsidR="001D5D85">
              <w:rPr>
                <w:rFonts w:ascii="Arial" w:hAnsi="Arial" w:cs="Arial"/>
                <w:b/>
                <w:bCs/>
                <w:color w:val="000000"/>
                <w:sz w:val="16"/>
                <w:szCs w:val="16"/>
              </w:rPr>
              <w:t>6</w:t>
            </w:r>
            <w:r w:rsidRPr="00123610">
              <w:rPr>
                <w:rFonts w:ascii="Arial" w:hAnsi="Arial" w:cs="Arial"/>
                <w:b/>
                <w:bCs/>
                <w:color w:val="000000"/>
                <w:sz w:val="16"/>
                <w:szCs w:val="16"/>
              </w:rPr>
              <w:t>6,214)</w:t>
            </w:r>
          </w:p>
        </w:tc>
        <w:tc>
          <w:tcPr>
            <w:tcW w:w="1559" w:type="dxa"/>
            <w:tcBorders>
              <w:top w:val="nil"/>
              <w:left w:val="nil"/>
              <w:bottom w:val="single" w:sz="4" w:space="0" w:color="000000"/>
              <w:right w:val="single" w:sz="4" w:space="0" w:color="000000"/>
            </w:tcBorders>
            <w:shd w:val="clear" w:color="auto" w:fill="auto"/>
            <w:noWrap/>
            <w:hideMark/>
          </w:tcPr>
          <w:p w14:paraId="79FDA6DD" w14:textId="77777777" w:rsidR="00607E1A" w:rsidRPr="00123610" w:rsidRDefault="00607E1A" w:rsidP="0097553A">
            <w:pPr>
              <w:jc w:val="right"/>
              <w:rPr>
                <w:rFonts w:ascii="Arial" w:hAnsi="Arial" w:cs="Arial"/>
                <w:b/>
                <w:bCs/>
                <w:color w:val="000000"/>
                <w:sz w:val="16"/>
                <w:szCs w:val="16"/>
                <w:lang w:val="en-US"/>
              </w:rPr>
            </w:pPr>
            <w:r w:rsidRPr="00123610">
              <w:rPr>
                <w:rFonts w:ascii="Arial" w:hAnsi="Arial" w:cs="Arial"/>
                <w:b/>
                <w:bCs/>
                <w:color w:val="000000"/>
                <w:sz w:val="16"/>
                <w:szCs w:val="16"/>
              </w:rPr>
              <w:t xml:space="preserve"> (221,127)</w:t>
            </w:r>
          </w:p>
        </w:tc>
        <w:tc>
          <w:tcPr>
            <w:tcW w:w="1559" w:type="dxa"/>
            <w:tcBorders>
              <w:top w:val="nil"/>
              <w:left w:val="nil"/>
              <w:bottom w:val="single" w:sz="4" w:space="0" w:color="000000"/>
              <w:right w:val="single" w:sz="4" w:space="0" w:color="000000"/>
            </w:tcBorders>
            <w:shd w:val="clear" w:color="auto" w:fill="auto"/>
            <w:noWrap/>
            <w:hideMark/>
          </w:tcPr>
          <w:p w14:paraId="12F77748" w14:textId="522DF79C" w:rsidR="00607E1A" w:rsidRPr="00AB42F3" w:rsidRDefault="00607E1A" w:rsidP="0097553A">
            <w:pPr>
              <w:jc w:val="right"/>
              <w:rPr>
                <w:rFonts w:ascii="Arial" w:hAnsi="Arial" w:cs="Arial"/>
                <w:bCs/>
                <w:color w:val="000000"/>
                <w:sz w:val="16"/>
                <w:szCs w:val="16"/>
                <w:lang w:val="en-US"/>
              </w:rPr>
            </w:pPr>
            <w:r w:rsidRPr="00AB42F3">
              <w:rPr>
                <w:rFonts w:ascii="Arial" w:hAnsi="Arial" w:cs="Arial"/>
                <w:bCs/>
                <w:color w:val="000000"/>
                <w:sz w:val="16"/>
                <w:szCs w:val="16"/>
              </w:rPr>
              <w:t>(2,6</w:t>
            </w:r>
            <w:r w:rsidR="008553E5" w:rsidRPr="00AB42F3">
              <w:rPr>
                <w:rFonts w:ascii="Arial" w:hAnsi="Arial" w:cs="Arial"/>
                <w:bCs/>
                <w:color w:val="000000"/>
                <w:sz w:val="16"/>
                <w:szCs w:val="16"/>
              </w:rPr>
              <w:t>8</w:t>
            </w:r>
            <w:r w:rsidRPr="00AB42F3">
              <w:rPr>
                <w:rFonts w:ascii="Arial" w:hAnsi="Arial" w:cs="Arial"/>
                <w:bCs/>
                <w:color w:val="000000"/>
                <w:sz w:val="16"/>
                <w:szCs w:val="16"/>
              </w:rPr>
              <w:t>7,34</w:t>
            </w:r>
            <w:r w:rsidR="008553E5" w:rsidRPr="00AB42F3">
              <w:rPr>
                <w:rFonts w:ascii="Arial" w:hAnsi="Arial" w:cs="Arial"/>
                <w:bCs/>
                <w:color w:val="000000"/>
                <w:sz w:val="16"/>
                <w:szCs w:val="16"/>
              </w:rPr>
              <w:t>0</w:t>
            </w:r>
            <w:r w:rsidRPr="00AB42F3">
              <w:rPr>
                <w:rFonts w:ascii="Arial" w:hAnsi="Arial" w:cs="Arial"/>
                <w:bCs/>
                <w:color w:val="000000"/>
                <w:sz w:val="16"/>
                <w:szCs w:val="16"/>
              </w:rPr>
              <w:t>)</w:t>
            </w:r>
          </w:p>
        </w:tc>
      </w:tr>
    </w:tbl>
    <w:p w14:paraId="2EE55917" w14:textId="77777777" w:rsidR="00A7016F" w:rsidRPr="00A153FB" w:rsidRDefault="00A7016F" w:rsidP="00A7016F">
      <w:pPr>
        <w:autoSpaceDE w:val="0"/>
        <w:autoSpaceDN w:val="0"/>
        <w:adjustRightInd w:val="0"/>
        <w:ind w:left="851"/>
        <w:jc w:val="both"/>
        <w:rPr>
          <w:rFonts w:ascii="Arial" w:hAnsi="Arial" w:cs="Arial"/>
          <w:sz w:val="16"/>
          <w:szCs w:val="16"/>
        </w:rPr>
      </w:pPr>
    </w:p>
    <w:p w14:paraId="17AD9B9A" w14:textId="7EF8EA01" w:rsidR="00033D76" w:rsidRDefault="00033D76">
      <w:pPr>
        <w:widowControl w:val="0"/>
        <w:autoSpaceDE w:val="0"/>
        <w:autoSpaceDN w:val="0"/>
        <w:rPr>
          <w:rFonts w:ascii="Arial" w:hAnsi="Arial" w:cs="Arial"/>
          <w:sz w:val="16"/>
          <w:szCs w:val="16"/>
        </w:rPr>
      </w:pPr>
      <w:r>
        <w:rPr>
          <w:rFonts w:ascii="Arial" w:hAnsi="Arial" w:cs="Arial"/>
          <w:sz w:val="16"/>
          <w:szCs w:val="16"/>
        </w:rPr>
        <w:br w:type="page"/>
      </w:r>
    </w:p>
    <w:p w14:paraId="2E363228" w14:textId="77777777" w:rsidR="00A7016F" w:rsidRDefault="00A7016F" w:rsidP="00A7016F">
      <w:pPr>
        <w:autoSpaceDE w:val="0"/>
        <w:autoSpaceDN w:val="0"/>
        <w:adjustRightInd w:val="0"/>
        <w:ind w:left="851"/>
        <w:jc w:val="both"/>
        <w:rPr>
          <w:rFonts w:ascii="Arial" w:hAnsi="Arial" w:cs="Arial"/>
          <w:sz w:val="16"/>
          <w:szCs w:val="16"/>
        </w:rPr>
      </w:pPr>
    </w:p>
    <w:p w14:paraId="56B44599" w14:textId="77777777" w:rsidR="00033D76" w:rsidRPr="00A153FB" w:rsidRDefault="00033D76" w:rsidP="00A7016F">
      <w:pPr>
        <w:autoSpaceDE w:val="0"/>
        <w:autoSpaceDN w:val="0"/>
        <w:adjustRightInd w:val="0"/>
        <w:ind w:left="851"/>
        <w:jc w:val="both"/>
        <w:rPr>
          <w:rFonts w:ascii="Arial" w:hAnsi="Arial" w:cs="Arial"/>
          <w:sz w:val="16"/>
          <w:szCs w:val="16"/>
        </w:rPr>
      </w:pPr>
    </w:p>
    <w:p w14:paraId="0DDCA894" w14:textId="3C0A544E" w:rsidR="002369BB" w:rsidRPr="00CA366F" w:rsidRDefault="00033D76" w:rsidP="00033D76">
      <w:pPr>
        <w:pStyle w:val="ListParagraph"/>
        <w:numPr>
          <w:ilvl w:val="0"/>
          <w:numId w:val="6"/>
        </w:numPr>
        <w:tabs>
          <w:tab w:val="left" w:pos="1002"/>
        </w:tabs>
        <w:ind w:left="993" w:hanging="142"/>
        <w:rPr>
          <w:rFonts w:ascii="Arial" w:hAnsi="Arial" w:cs="Arial"/>
          <w:b/>
          <w:sz w:val="16"/>
          <w:szCs w:val="16"/>
        </w:rPr>
      </w:pPr>
      <w:r>
        <w:rPr>
          <w:rFonts w:ascii="Arial" w:hAnsi="Arial" w:cs="Arial"/>
          <w:b/>
          <w:bCs/>
          <w:sz w:val="16"/>
          <w:szCs w:val="16"/>
        </w:rPr>
        <w:t xml:space="preserve">  </w:t>
      </w:r>
      <w:r w:rsidR="002369BB" w:rsidRPr="00CA366F">
        <w:rPr>
          <w:rFonts w:ascii="Arial" w:hAnsi="Arial" w:cs="Arial"/>
          <w:b/>
          <w:bCs/>
          <w:sz w:val="16"/>
          <w:szCs w:val="16"/>
        </w:rPr>
        <w:t>AMOUNTS RECEIVABLE</w:t>
      </w:r>
    </w:p>
    <w:p w14:paraId="7A3719CA" w14:textId="77777777" w:rsidR="00A7016F" w:rsidRPr="00A153FB" w:rsidRDefault="00A7016F" w:rsidP="00A7016F">
      <w:pPr>
        <w:autoSpaceDE w:val="0"/>
        <w:autoSpaceDN w:val="0"/>
        <w:adjustRightInd w:val="0"/>
        <w:ind w:left="851"/>
        <w:jc w:val="both"/>
        <w:rPr>
          <w:rFonts w:ascii="Arial" w:hAnsi="Arial" w:cs="Arial"/>
          <w:sz w:val="16"/>
          <w:szCs w:val="16"/>
        </w:rPr>
      </w:pPr>
    </w:p>
    <w:p w14:paraId="3C718646" w14:textId="44432EAF" w:rsidR="003F4355" w:rsidRPr="007B2708" w:rsidRDefault="003F4355" w:rsidP="00033D76">
      <w:pPr>
        <w:pStyle w:val="BodyText"/>
        <w:ind w:left="851" w:right="737"/>
        <w:jc w:val="both"/>
        <w:rPr>
          <w:rFonts w:ascii="Arial" w:hAnsi="Arial" w:cs="Arial"/>
        </w:rPr>
      </w:pPr>
      <w:r w:rsidRPr="006B0520">
        <w:rPr>
          <w:rFonts w:ascii="Arial" w:hAnsi="Arial" w:cs="Arial"/>
        </w:rPr>
        <w:t xml:space="preserve">For the years ended December 31, </w:t>
      </w:r>
      <w:proofErr w:type="gramStart"/>
      <w:r w:rsidRPr="006B0520">
        <w:rPr>
          <w:rFonts w:ascii="Arial" w:hAnsi="Arial" w:cs="Arial"/>
        </w:rPr>
        <w:t>20</w:t>
      </w:r>
      <w:r>
        <w:rPr>
          <w:rFonts w:ascii="Arial" w:hAnsi="Arial" w:cs="Arial"/>
        </w:rPr>
        <w:t>2</w:t>
      </w:r>
      <w:r w:rsidR="00085A72">
        <w:rPr>
          <w:rFonts w:ascii="Arial" w:hAnsi="Arial" w:cs="Arial"/>
        </w:rPr>
        <w:t>3</w:t>
      </w:r>
      <w:proofErr w:type="gramEnd"/>
      <w:r w:rsidRPr="006B0520">
        <w:rPr>
          <w:rFonts w:ascii="Arial" w:hAnsi="Arial" w:cs="Arial"/>
        </w:rPr>
        <w:t xml:space="preserve"> and 20</w:t>
      </w:r>
      <w:r w:rsidR="00396692">
        <w:rPr>
          <w:rFonts w:ascii="Arial" w:hAnsi="Arial" w:cs="Arial"/>
        </w:rPr>
        <w:t>2</w:t>
      </w:r>
      <w:r w:rsidR="00085A72">
        <w:rPr>
          <w:rFonts w:ascii="Arial" w:hAnsi="Arial" w:cs="Arial"/>
        </w:rPr>
        <w:t>2</w:t>
      </w:r>
      <w:r w:rsidRPr="006B0520">
        <w:rPr>
          <w:rFonts w:ascii="Arial" w:hAnsi="Arial" w:cs="Arial"/>
        </w:rPr>
        <w:t xml:space="preserve"> </w:t>
      </w:r>
    </w:p>
    <w:p w14:paraId="6E784177" w14:textId="6B66AD09" w:rsidR="00EC657D" w:rsidRPr="00A46CF8" w:rsidRDefault="00EC657D" w:rsidP="002369BB">
      <w:pPr>
        <w:tabs>
          <w:tab w:val="left" w:pos="4820"/>
        </w:tabs>
        <w:ind w:right="1786"/>
        <w:rPr>
          <w:rFonts w:ascii="Arial" w:hAnsi="Arial" w:cs="Arial"/>
          <w:b/>
          <w:bCs/>
          <w:sz w:val="18"/>
          <w:szCs w:val="18"/>
        </w:rPr>
      </w:pPr>
    </w:p>
    <w:tbl>
      <w:tblPr>
        <w:tblW w:w="8363" w:type="dxa"/>
        <w:tblInd w:w="851" w:type="dxa"/>
        <w:tblLook w:val="04A0" w:firstRow="1" w:lastRow="0" w:firstColumn="1" w:lastColumn="0" w:noHBand="0" w:noVBand="1"/>
      </w:tblPr>
      <w:tblGrid>
        <w:gridCol w:w="5528"/>
        <w:gridCol w:w="1418"/>
        <w:gridCol w:w="1417"/>
      </w:tblGrid>
      <w:tr w:rsidR="002369BB" w:rsidRPr="00067121" w14:paraId="0DEC2B82" w14:textId="77777777" w:rsidTr="00A14E81">
        <w:trPr>
          <w:trHeight w:val="414"/>
        </w:trPr>
        <w:tc>
          <w:tcPr>
            <w:tcW w:w="5528" w:type="dxa"/>
            <w:tcBorders>
              <w:top w:val="nil"/>
              <w:left w:val="nil"/>
              <w:bottom w:val="single" w:sz="4" w:space="0" w:color="000000"/>
              <w:right w:val="nil"/>
            </w:tcBorders>
            <w:shd w:val="clear" w:color="auto" w:fill="auto"/>
            <w:vAlign w:val="center"/>
            <w:hideMark/>
          </w:tcPr>
          <w:p w14:paraId="49B9FB4D" w14:textId="4FCD5E5F" w:rsidR="002369BB" w:rsidRPr="00F56223" w:rsidRDefault="002369BB" w:rsidP="00A14E81">
            <w:pPr>
              <w:rPr>
                <w:rFonts w:ascii="Arial" w:hAnsi="Arial" w:cs="Arial"/>
                <w:color w:val="000000"/>
                <w:sz w:val="20"/>
                <w:szCs w:val="20"/>
                <w:lang w:eastAsia="en-CA"/>
              </w:rPr>
            </w:pPr>
          </w:p>
        </w:tc>
        <w:tc>
          <w:tcPr>
            <w:tcW w:w="1418" w:type="dxa"/>
            <w:tcBorders>
              <w:top w:val="nil"/>
              <w:left w:val="nil"/>
              <w:bottom w:val="single" w:sz="4" w:space="0" w:color="000000"/>
              <w:right w:val="nil"/>
            </w:tcBorders>
            <w:shd w:val="clear" w:color="auto" w:fill="auto"/>
            <w:hideMark/>
          </w:tcPr>
          <w:p w14:paraId="7EEAA684" w14:textId="00AA5B43" w:rsidR="002369BB" w:rsidRPr="00CE528F" w:rsidRDefault="002369BB" w:rsidP="007B2708">
            <w:pPr>
              <w:jc w:val="right"/>
              <w:rPr>
                <w:rFonts w:ascii="Arial" w:hAnsi="Arial" w:cs="Arial"/>
                <w:b/>
                <w:bCs/>
                <w:sz w:val="16"/>
                <w:szCs w:val="16"/>
                <w:lang w:eastAsia="en-CA"/>
              </w:rPr>
            </w:pPr>
            <w:r w:rsidRPr="00CE528F">
              <w:rPr>
                <w:rFonts w:ascii="Arial" w:hAnsi="Arial" w:cs="Arial"/>
                <w:b/>
                <w:bCs/>
                <w:sz w:val="16"/>
                <w:szCs w:val="16"/>
                <w:lang w:eastAsia="en-CA"/>
              </w:rPr>
              <w:t>202</w:t>
            </w:r>
            <w:r w:rsidR="00607E1A" w:rsidRPr="00CE528F">
              <w:rPr>
                <w:rFonts w:ascii="Arial" w:hAnsi="Arial" w:cs="Arial"/>
                <w:b/>
                <w:bCs/>
                <w:sz w:val="16"/>
                <w:szCs w:val="16"/>
                <w:lang w:eastAsia="en-CA"/>
              </w:rPr>
              <w:t>3</w:t>
            </w:r>
            <w:r w:rsidRPr="00CE528F">
              <w:rPr>
                <w:rFonts w:ascii="Arial" w:hAnsi="Arial" w:cs="Arial"/>
                <w:b/>
                <w:bCs/>
                <w:sz w:val="16"/>
                <w:szCs w:val="16"/>
                <w:lang w:eastAsia="en-CA"/>
              </w:rPr>
              <w:br/>
              <w:t>$</w:t>
            </w:r>
          </w:p>
        </w:tc>
        <w:tc>
          <w:tcPr>
            <w:tcW w:w="1417" w:type="dxa"/>
            <w:tcBorders>
              <w:top w:val="nil"/>
              <w:left w:val="nil"/>
              <w:bottom w:val="single" w:sz="4" w:space="0" w:color="000000"/>
              <w:right w:val="nil"/>
            </w:tcBorders>
            <w:shd w:val="clear" w:color="auto" w:fill="auto"/>
            <w:hideMark/>
          </w:tcPr>
          <w:p w14:paraId="0B03053A" w14:textId="1BF6F370" w:rsidR="002369BB" w:rsidRPr="00067121" w:rsidRDefault="002369BB" w:rsidP="007B2708">
            <w:pPr>
              <w:jc w:val="right"/>
              <w:rPr>
                <w:rFonts w:ascii="Arial" w:hAnsi="Arial" w:cs="Arial"/>
                <w:sz w:val="16"/>
                <w:szCs w:val="16"/>
                <w:lang w:eastAsia="en-CA"/>
              </w:rPr>
            </w:pPr>
            <w:r w:rsidRPr="00067121">
              <w:rPr>
                <w:rFonts w:ascii="Arial" w:hAnsi="Arial" w:cs="Arial"/>
                <w:sz w:val="16"/>
                <w:szCs w:val="16"/>
                <w:lang w:eastAsia="en-CA"/>
              </w:rPr>
              <w:t>20</w:t>
            </w:r>
            <w:r w:rsidR="00396692" w:rsidRPr="00067121">
              <w:rPr>
                <w:rFonts w:ascii="Arial" w:hAnsi="Arial" w:cs="Arial"/>
                <w:sz w:val="16"/>
                <w:szCs w:val="16"/>
                <w:lang w:eastAsia="en-CA"/>
              </w:rPr>
              <w:t>2</w:t>
            </w:r>
            <w:r w:rsidR="00607E1A">
              <w:rPr>
                <w:rFonts w:ascii="Arial" w:hAnsi="Arial" w:cs="Arial"/>
                <w:sz w:val="16"/>
                <w:szCs w:val="16"/>
                <w:lang w:eastAsia="en-CA"/>
              </w:rPr>
              <w:t>2</w:t>
            </w:r>
            <w:r w:rsidRPr="00067121">
              <w:rPr>
                <w:rFonts w:ascii="Arial" w:hAnsi="Arial" w:cs="Arial"/>
                <w:sz w:val="16"/>
                <w:szCs w:val="16"/>
                <w:lang w:eastAsia="en-CA"/>
              </w:rPr>
              <w:br/>
              <w:t>$</w:t>
            </w:r>
          </w:p>
        </w:tc>
      </w:tr>
      <w:tr w:rsidR="00D13D80" w:rsidRPr="00067121" w14:paraId="68456E38" w14:textId="77777777" w:rsidTr="00454DAB">
        <w:trPr>
          <w:trHeight w:hRule="exact" w:val="209"/>
        </w:trPr>
        <w:tc>
          <w:tcPr>
            <w:tcW w:w="5528" w:type="dxa"/>
            <w:tcBorders>
              <w:top w:val="nil"/>
              <w:left w:val="nil"/>
              <w:bottom w:val="single" w:sz="12" w:space="0" w:color="FFFFFF" w:themeColor="background1"/>
              <w:right w:val="nil"/>
            </w:tcBorders>
            <w:shd w:val="clear" w:color="auto" w:fill="auto"/>
            <w:vAlign w:val="bottom"/>
            <w:hideMark/>
          </w:tcPr>
          <w:p w14:paraId="384DDEDD" w14:textId="77777777" w:rsidR="00D13D80" w:rsidRPr="00067121" w:rsidRDefault="00D13D80" w:rsidP="00D13D80">
            <w:pPr>
              <w:rPr>
                <w:rFonts w:ascii="Arial" w:hAnsi="Arial" w:cs="Arial"/>
                <w:b/>
                <w:sz w:val="16"/>
                <w:szCs w:val="16"/>
                <w:lang w:eastAsia="en-CA"/>
              </w:rPr>
            </w:pPr>
            <w:r w:rsidRPr="00067121">
              <w:rPr>
                <w:rFonts w:ascii="Arial" w:hAnsi="Arial" w:cs="Arial"/>
                <w:b/>
                <w:sz w:val="16"/>
                <w:szCs w:val="16"/>
                <w:lang w:eastAsia="en-CA"/>
              </w:rPr>
              <w:t>Recoverable taxes (</w:t>
            </w:r>
            <w:proofErr w:type="spellStart"/>
            <w:r w:rsidRPr="00067121">
              <w:rPr>
                <w:rFonts w:ascii="Arial" w:hAnsi="Arial" w:cs="Arial"/>
                <w:b/>
                <w:sz w:val="16"/>
                <w:szCs w:val="16"/>
                <w:lang w:eastAsia="en-CA"/>
              </w:rPr>
              <w:t>i</w:t>
            </w:r>
            <w:proofErr w:type="spellEnd"/>
            <w:r w:rsidRPr="00067121">
              <w:rPr>
                <w:rFonts w:ascii="Arial" w:hAnsi="Arial" w:cs="Arial"/>
                <w:b/>
                <w:sz w:val="16"/>
                <w:szCs w:val="16"/>
                <w:lang w:eastAsia="en-CA"/>
              </w:rPr>
              <w:t>)</w:t>
            </w:r>
          </w:p>
        </w:tc>
        <w:tc>
          <w:tcPr>
            <w:tcW w:w="1418" w:type="dxa"/>
            <w:tcBorders>
              <w:top w:val="nil"/>
              <w:left w:val="nil"/>
              <w:bottom w:val="single" w:sz="12" w:space="0" w:color="FFFFFF" w:themeColor="background1"/>
              <w:right w:val="nil"/>
            </w:tcBorders>
            <w:shd w:val="clear" w:color="auto" w:fill="auto"/>
            <w:noWrap/>
            <w:vAlign w:val="bottom"/>
          </w:tcPr>
          <w:p w14:paraId="44B70877" w14:textId="76C57250" w:rsidR="00E858C5" w:rsidRPr="00CE528F" w:rsidRDefault="00CE528F" w:rsidP="00E858C5">
            <w:pPr>
              <w:jc w:val="right"/>
              <w:rPr>
                <w:rFonts w:ascii="Arial" w:hAnsi="Arial" w:cs="Arial"/>
                <w:b/>
                <w:bCs/>
                <w:color w:val="000000"/>
                <w:sz w:val="16"/>
                <w:szCs w:val="16"/>
                <w:lang w:val="en-US"/>
              </w:rPr>
            </w:pPr>
            <w:r w:rsidRPr="00D55C14">
              <w:rPr>
                <w:rFonts w:ascii="Arial" w:hAnsi="Arial" w:cs="Arial"/>
                <w:b/>
                <w:bCs/>
                <w:color w:val="000000"/>
                <w:sz w:val="16"/>
                <w:szCs w:val="16"/>
              </w:rPr>
              <w:t>8</w:t>
            </w:r>
            <w:r w:rsidR="00D55C14">
              <w:rPr>
                <w:rFonts w:ascii="Arial" w:hAnsi="Arial" w:cs="Arial"/>
                <w:b/>
                <w:bCs/>
                <w:color w:val="000000"/>
                <w:sz w:val="16"/>
                <w:szCs w:val="16"/>
              </w:rPr>
              <w:t>8,548</w:t>
            </w:r>
          </w:p>
          <w:p w14:paraId="1E6B8673" w14:textId="54265EB8" w:rsidR="00D13D80" w:rsidRPr="00CE528F" w:rsidRDefault="00D13D80" w:rsidP="00D13D80">
            <w:pPr>
              <w:ind w:right="113"/>
              <w:jc w:val="right"/>
              <w:rPr>
                <w:rFonts w:ascii="Arial" w:hAnsi="Arial" w:cs="Arial"/>
                <w:bCs/>
                <w:color w:val="000000"/>
                <w:sz w:val="16"/>
                <w:szCs w:val="16"/>
                <w:lang w:eastAsia="en-CA"/>
              </w:rPr>
            </w:pPr>
          </w:p>
        </w:tc>
        <w:tc>
          <w:tcPr>
            <w:tcW w:w="1417" w:type="dxa"/>
            <w:tcBorders>
              <w:top w:val="nil"/>
              <w:left w:val="nil"/>
              <w:bottom w:val="single" w:sz="12" w:space="0" w:color="FFFFFF" w:themeColor="background1"/>
              <w:right w:val="nil"/>
            </w:tcBorders>
            <w:shd w:val="clear" w:color="auto" w:fill="auto"/>
            <w:noWrap/>
            <w:vAlign w:val="bottom"/>
            <w:hideMark/>
          </w:tcPr>
          <w:p w14:paraId="43FD5227" w14:textId="566137DA" w:rsidR="00D13D80" w:rsidRPr="00067121" w:rsidRDefault="00607E1A" w:rsidP="00D13D80">
            <w:pPr>
              <w:ind w:right="113"/>
              <w:jc w:val="right"/>
              <w:rPr>
                <w:rFonts w:ascii="Arial" w:hAnsi="Arial" w:cs="Arial"/>
                <w:sz w:val="16"/>
                <w:szCs w:val="16"/>
                <w:lang w:eastAsia="en-CA"/>
              </w:rPr>
            </w:pPr>
            <w:r>
              <w:rPr>
                <w:rFonts w:ascii="Arial" w:hAnsi="Arial" w:cs="Arial"/>
                <w:sz w:val="16"/>
                <w:szCs w:val="16"/>
                <w:lang w:eastAsia="en-CA"/>
              </w:rPr>
              <w:t>134,134</w:t>
            </w:r>
          </w:p>
        </w:tc>
      </w:tr>
      <w:tr w:rsidR="00D13D80" w:rsidRPr="00AA2626" w14:paraId="5B481A2D" w14:textId="77777777" w:rsidTr="00C477DF">
        <w:trPr>
          <w:trHeight w:val="212"/>
        </w:trPr>
        <w:tc>
          <w:tcPr>
            <w:tcW w:w="5528" w:type="dxa"/>
            <w:tcBorders>
              <w:top w:val="single" w:sz="12" w:space="0" w:color="auto"/>
              <w:left w:val="nil"/>
              <w:right w:val="nil"/>
            </w:tcBorders>
            <w:shd w:val="clear" w:color="auto" w:fill="auto"/>
            <w:vAlign w:val="bottom"/>
            <w:hideMark/>
          </w:tcPr>
          <w:p w14:paraId="5D7DA805" w14:textId="3B660935" w:rsidR="00D13D80" w:rsidRPr="00067121" w:rsidRDefault="00D13D80" w:rsidP="00D13D80">
            <w:pPr>
              <w:rPr>
                <w:rFonts w:ascii="Arial" w:hAnsi="Arial"/>
                <w:color w:val="000000"/>
                <w:sz w:val="16"/>
              </w:rPr>
            </w:pPr>
            <w:r w:rsidRPr="00067121">
              <w:rPr>
                <w:rFonts w:ascii="Arial" w:hAnsi="Arial" w:cs="Arial"/>
                <w:b/>
                <w:color w:val="000000"/>
                <w:sz w:val="20"/>
                <w:szCs w:val="20"/>
                <w:lang w:eastAsia="en-CA"/>
              </w:rPr>
              <w:t> </w:t>
            </w:r>
            <w:r w:rsidRPr="00067121">
              <w:rPr>
                <w:rFonts w:ascii="Arial" w:hAnsi="Arial" w:cs="Arial"/>
                <w:bCs/>
                <w:color w:val="000000"/>
                <w:sz w:val="16"/>
                <w:szCs w:val="16"/>
                <w:lang w:eastAsia="en-CA"/>
              </w:rPr>
              <w:t>Total</w:t>
            </w:r>
          </w:p>
        </w:tc>
        <w:tc>
          <w:tcPr>
            <w:tcW w:w="1418" w:type="dxa"/>
            <w:tcBorders>
              <w:top w:val="single" w:sz="12" w:space="0" w:color="auto"/>
              <w:left w:val="nil"/>
              <w:right w:val="nil"/>
            </w:tcBorders>
            <w:shd w:val="clear" w:color="auto" w:fill="auto"/>
            <w:noWrap/>
            <w:vAlign w:val="bottom"/>
          </w:tcPr>
          <w:p w14:paraId="38A3ADB8" w14:textId="75B9BC11" w:rsidR="00D13D80" w:rsidRPr="00CE528F" w:rsidRDefault="00CE528F" w:rsidP="00E858C5">
            <w:pPr>
              <w:jc w:val="right"/>
              <w:rPr>
                <w:rFonts w:ascii="Arial" w:hAnsi="Arial" w:cs="Arial"/>
                <w:b/>
                <w:bCs/>
                <w:color w:val="000000"/>
                <w:sz w:val="16"/>
                <w:szCs w:val="16"/>
                <w:lang w:val="en-US"/>
              </w:rPr>
            </w:pPr>
            <w:r w:rsidRPr="00CE528F">
              <w:rPr>
                <w:rFonts w:ascii="Arial" w:hAnsi="Arial" w:cs="Arial"/>
                <w:b/>
                <w:bCs/>
                <w:color w:val="000000"/>
                <w:sz w:val="16"/>
                <w:szCs w:val="16"/>
              </w:rPr>
              <w:t>8</w:t>
            </w:r>
            <w:r w:rsidR="00D55C14">
              <w:rPr>
                <w:rFonts w:ascii="Arial" w:hAnsi="Arial" w:cs="Arial"/>
                <w:b/>
                <w:bCs/>
                <w:color w:val="000000"/>
                <w:sz w:val="16"/>
                <w:szCs w:val="16"/>
              </w:rPr>
              <w:t>8,548</w:t>
            </w:r>
          </w:p>
        </w:tc>
        <w:tc>
          <w:tcPr>
            <w:tcW w:w="1417" w:type="dxa"/>
            <w:tcBorders>
              <w:top w:val="single" w:sz="12" w:space="0" w:color="auto"/>
              <w:left w:val="nil"/>
              <w:right w:val="nil"/>
            </w:tcBorders>
            <w:shd w:val="clear" w:color="auto" w:fill="auto"/>
            <w:noWrap/>
            <w:vAlign w:val="bottom"/>
            <w:hideMark/>
          </w:tcPr>
          <w:p w14:paraId="7A4C46E1" w14:textId="4E526F16" w:rsidR="00D13D80" w:rsidRPr="00067121" w:rsidRDefault="00607E1A" w:rsidP="00D13D80">
            <w:pPr>
              <w:ind w:right="113"/>
              <w:jc w:val="right"/>
              <w:rPr>
                <w:rFonts w:ascii="Arial" w:hAnsi="Arial" w:cs="Arial"/>
                <w:sz w:val="16"/>
                <w:szCs w:val="16"/>
                <w:lang w:eastAsia="en-CA"/>
              </w:rPr>
            </w:pPr>
            <w:r>
              <w:rPr>
                <w:rFonts w:ascii="Arial" w:hAnsi="Arial" w:cs="Arial"/>
                <w:sz w:val="16"/>
                <w:szCs w:val="16"/>
                <w:lang w:eastAsia="en-CA"/>
              </w:rPr>
              <w:t>134,134</w:t>
            </w:r>
          </w:p>
        </w:tc>
      </w:tr>
    </w:tbl>
    <w:p w14:paraId="5D8119FB" w14:textId="77777777" w:rsidR="00A7016F" w:rsidRPr="00A153FB" w:rsidRDefault="00A7016F" w:rsidP="00A7016F">
      <w:pPr>
        <w:autoSpaceDE w:val="0"/>
        <w:autoSpaceDN w:val="0"/>
        <w:adjustRightInd w:val="0"/>
        <w:ind w:left="851"/>
        <w:jc w:val="both"/>
        <w:rPr>
          <w:rFonts w:ascii="Arial" w:hAnsi="Arial" w:cs="Arial"/>
          <w:sz w:val="16"/>
          <w:szCs w:val="16"/>
        </w:rPr>
      </w:pPr>
    </w:p>
    <w:p w14:paraId="28231301" w14:textId="258534F9" w:rsidR="002369BB" w:rsidRPr="00DB1F0C" w:rsidRDefault="002369BB" w:rsidP="00A7016F">
      <w:pPr>
        <w:spacing w:after="60"/>
        <w:ind w:left="851"/>
        <w:rPr>
          <w:rFonts w:ascii="Arial" w:hAnsi="Arial" w:cs="Arial"/>
          <w:sz w:val="16"/>
          <w:szCs w:val="16"/>
        </w:rPr>
      </w:pPr>
      <w:r w:rsidRPr="00DB1F0C">
        <w:rPr>
          <w:rFonts w:ascii="Arial" w:hAnsi="Arial" w:cs="Arial"/>
          <w:sz w:val="16"/>
          <w:szCs w:val="16"/>
        </w:rPr>
        <w:t>(</w:t>
      </w:r>
      <w:proofErr w:type="spellStart"/>
      <w:r w:rsidRPr="00DB1F0C">
        <w:rPr>
          <w:rFonts w:ascii="Arial" w:hAnsi="Arial" w:cs="Arial"/>
          <w:sz w:val="16"/>
          <w:szCs w:val="16"/>
        </w:rPr>
        <w:t>i</w:t>
      </w:r>
      <w:proofErr w:type="spellEnd"/>
      <w:r w:rsidRPr="00DB1F0C">
        <w:rPr>
          <w:rFonts w:ascii="Arial" w:hAnsi="Arial" w:cs="Arial"/>
          <w:sz w:val="16"/>
          <w:szCs w:val="16"/>
        </w:rPr>
        <w:t>)</w:t>
      </w:r>
      <w:r>
        <w:rPr>
          <w:rFonts w:ascii="Arial" w:hAnsi="Arial" w:cs="Arial"/>
          <w:sz w:val="16"/>
          <w:szCs w:val="16"/>
        </w:rPr>
        <w:t xml:space="preserve"> </w:t>
      </w:r>
      <w:r w:rsidRPr="00DB1F0C">
        <w:rPr>
          <w:rFonts w:ascii="Arial" w:hAnsi="Arial" w:cs="Arial"/>
          <w:sz w:val="16"/>
          <w:szCs w:val="16"/>
        </w:rPr>
        <w:t xml:space="preserve">Recoverable taxes include Canadian harmonized sales tax </w:t>
      </w:r>
      <w:r w:rsidR="00020394" w:rsidRPr="00DB1F0C">
        <w:rPr>
          <w:rFonts w:ascii="Arial" w:hAnsi="Arial" w:cs="Arial"/>
          <w:sz w:val="16"/>
          <w:szCs w:val="16"/>
        </w:rPr>
        <w:t>receivable</w:t>
      </w:r>
      <w:r w:rsidR="0041406A">
        <w:rPr>
          <w:rFonts w:ascii="Arial" w:hAnsi="Arial" w:cs="Arial"/>
          <w:sz w:val="16"/>
          <w:szCs w:val="16"/>
        </w:rPr>
        <w:t xml:space="preserve"> and a balance of income tax overpayment.</w:t>
      </w:r>
    </w:p>
    <w:p w14:paraId="0466E4FC" w14:textId="77777777" w:rsidR="005717F9" w:rsidRDefault="005717F9" w:rsidP="00033D76">
      <w:pPr>
        <w:spacing w:line="261" w:lineRule="auto"/>
        <w:ind w:left="851"/>
        <w:jc w:val="both"/>
        <w:rPr>
          <w:rFonts w:ascii="Arial" w:hAnsi="Arial" w:cs="Arial"/>
          <w:b/>
        </w:rPr>
      </w:pPr>
    </w:p>
    <w:p w14:paraId="0E083227" w14:textId="772626C7" w:rsidR="00A46CF8" w:rsidRPr="00CA366F" w:rsidRDefault="005C0E14" w:rsidP="005C0E14">
      <w:pPr>
        <w:pStyle w:val="ListParagraph"/>
        <w:numPr>
          <w:ilvl w:val="0"/>
          <w:numId w:val="6"/>
        </w:numPr>
        <w:tabs>
          <w:tab w:val="left" w:pos="1002"/>
        </w:tabs>
        <w:ind w:left="851" w:firstLine="0"/>
        <w:rPr>
          <w:rFonts w:ascii="Arial" w:hAnsi="Arial" w:cs="Arial"/>
          <w:b/>
          <w:sz w:val="16"/>
          <w:szCs w:val="16"/>
        </w:rPr>
      </w:pPr>
      <w:r>
        <w:rPr>
          <w:rFonts w:ascii="Arial" w:hAnsi="Arial" w:cs="Arial"/>
          <w:b/>
          <w:bCs/>
          <w:sz w:val="16"/>
          <w:szCs w:val="16"/>
        </w:rPr>
        <w:t xml:space="preserve">  </w:t>
      </w:r>
      <w:r w:rsidR="0040622B" w:rsidRPr="00CA366F">
        <w:rPr>
          <w:rFonts w:ascii="Arial" w:hAnsi="Arial" w:cs="Arial"/>
          <w:b/>
          <w:bCs/>
          <w:sz w:val="16"/>
          <w:szCs w:val="16"/>
        </w:rPr>
        <w:t>EQUIPMENT</w:t>
      </w:r>
      <w:r w:rsidR="00D547FA" w:rsidRPr="00CA366F">
        <w:rPr>
          <w:rFonts w:ascii="Arial" w:hAnsi="Arial" w:cs="Arial"/>
          <w:b/>
          <w:bCs/>
          <w:sz w:val="16"/>
          <w:szCs w:val="16"/>
        </w:rPr>
        <w:t xml:space="preserve"> </w:t>
      </w:r>
    </w:p>
    <w:p w14:paraId="39798323" w14:textId="6B78BBDC" w:rsidR="009558AB" w:rsidRPr="00F56223" w:rsidRDefault="009558AB" w:rsidP="00A46CF8">
      <w:pPr>
        <w:rPr>
          <w:rFonts w:ascii="Arial" w:hAnsi="Arial" w:cs="Arial"/>
          <w:sz w:val="20"/>
        </w:rPr>
      </w:pPr>
    </w:p>
    <w:tbl>
      <w:tblPr>
        <w:tblW w:w="5528" w:type="dxa"/>
        <w:tblInd w:w="851" w:type="dxa"/>
        <w:tblLook w:val="04A0" w:firstRow="1" w:lastRow="0" w:firstColumn="1" w:lastColumn="0" w:noHBand="0" w:noVBand="1"/>
      </w:tblPr>
      <w:tblGrid>
        <w:gridCol w:w="3543"/>
        <w:gridCol w:w="1985"/>
      </w:tblGrid>
      <w:tr w:rsidR="00096FE1" w:rsidRPr="00F56223" w14:paraId="6EE63948" w14:textId="77777777" w:rsidTr="00096FE1">
        <w:trPr>
          <w:trHeight w:val="284"/>
        </w:trPr>
        <w:tc>
          <w:tcPr>
            <w:tcW w:w="3543" w:type="dxa"/>
            <w:tcBorders>
              <w:top w:val="nil"/>
              <w:left w:val="nil"/>
              <w:bottom w:val="nil"/>
              <w:right w:val="nil"/>
            </w:tcBorders>
            <w:shd w:val="clear" w:color="auto" w:fill="auto"/>
            <w:vAlign w:val="center"/>
            <w:hideMark/>
          </w:tcPr>
          <w:p w14:paraId="05A8AC09" w14:textId="77777777" w:rsidR="00096FE1" w:rsidRPr="00F56223" w:rsidRDefault="00096FE1" w:rsidP="009558AB">
            <w:pPr>
              <w:rPr>
                <w:rFonts w:ascii="Arial" w:hAnsi="Arial" w:cs="Arial"/>
              </w:rPr>
            </w:pPr>
          </w:p>
        </w:tc>
        <w:tc>
          <w:tcPr>
            <w:tcW w:w="1985" w:type="dxa"/>
            <w:tcBorders>
              <w:top w:val="nil"/>
              <w:left w:val="nil"/>
              <w:bottom w:val="nil"/>
              <w:right w:val="nil"/>
            </w:tcBorders>
            <w:shd w:val="clear" w:color="auto" w:fill="auto"/>
            <w:vAlign w:val="center"/>
            <w:hideMark/>
          </w:tcPr>
          <w:p w14:paraId="452632CC" w14:textId="386FB510" w:rsidR="00096FE1" w:rsidRPr="00F56223" w:rsidRDefault="00096FE1" w:rsidP="00452734">
            <w:pPr>
              <w:jc w:val="center"/>
              <w:rPr>
                <w:rFonts w:ascii="Arial" w:hAnsi="Arial" w:cs="Arial"/>
                <w:b/>
                <w:bCs/>
                <w:sz w:val="16"/>
                <w:szCs w:val="16"/>
              </w:rPr>
            </w:pPr>
            <w:r w:rsidRPr="00F56223">
              <w:rPr>
                <w:rFonts w:ascii="Arial" w:hAnsi="Arial" w:cs="Arial"/>
                <w:b/>
                <w:bCs/>
                <w:sz w:val="16"/>
                <w:szCs w:val="16"/>
              </w:rPr>
              <w:t>Computer</w:t>
            </w:r>
          </w:p>
          <w:p w14:paraId="32DC9256" w14:textId="65779A84" w:rsidR="00096FE1" w:rsidRPr="00F56223" w:rsidRDefault="00096FE1" w:rsidP="00452734">
            <w:pPr>
              <w:jc w:val="center"/>
              <w:rPr>
                <w:rFonts w:ascii="Arial" w:hAnsi="Arial" w:cs="Arial"/>
                <w:b/>
                <w:bCs/>
                <w:sz w:val="16"/>
                <w:szCs w:val="16"/>
              </w:rPr>
            </w:pPr>
            <w:r w:rsidRPr="00F56223">
              <w:rPr>
                <w:rFonts w:ascii="Arial" w:hAnsi="Arial" w:cs="Arial"/>
                <w:b/>
                <w:bCs/>
                <w:sz w:val="16"/>
                <w:szCs w:val="16"/>
              </w:rPr>
              <w:t>Equipment</w:t>
            </w:r>
          </w:p>
        </w:tc>
      </w:tr>
      <w:tr w:rsidR="00096FE1" w:rsidRPr="00F56223" w14:paraId="5B4422DE" w14:textId="77777777" w:rsidTr="00096FE1">
        <w:trPr>
          <w:trHeight w:val="170"/>
        </w:trPr>
        <w:tc>
          <w:tcPr>
            <w:tcW w:w="3543" w:type="dxa"/>
            <w:tcBorders>
              <w:top w:val="nil"/>
              <w:left w:val="nil"/>
              <w:bottom w:val="single" w:sz="4" w:space="0" w:color="000000"/>
              <w:right w:val="nil"/>
            </w:tcBorders>
            <w:shd w:val="clear" w:color="auto" w:fill="auto"/>
            <w:vAlign w:val="center"/>
            <w:hideMark/>
          </w:tcPr>
          <w:p w14:paraId="11307ADE" w14:textId="099E2DA0" w:rsidR="00096FE1" w:rsidRPr="00F56223" w:rsidRDefault="00096FE1" w:rsidP="0040137D">
            <w:pPr>
              <w:jc w:val="center"/>
              <w:rPr>
                <w:rFonts w:ascii="Arial" w:hAnsi="Arial" w:cs="Arial"/>
                <w:color w:val="000000"/>
                <w:sz w:val="20"/>
                <w:szCs w:val="20"/>
              </w:rPr>
            </w:pPr>
          </w:p>
        </w:tc>
        <w:tc>
          <w:tcPr>
            <w:tcW w:w="1985" w:type="dxa"/>
            <w:tcBorders>
              <w:top w:val="nil"/>
              <w:left w:val="nil"/>
              <w:bottom w:val="single" w:sz="4" w:space="0" w:color="000000"/>
              <w:right w:val="nil"/>
            </w:tcBorders>
            <w:shd w:val="clear" w:color="auto" w:fill="auto"/>
            <w:vAlign w:val="center"/>
            <w:hideMark/>
          </w:tcPr>
          <w:p w14:paraId="0BE645EF" w14:textId="77777777" w:rsidR="00096FE1" w:rsidRPr="00F56223" w:rsidRDefault="00096FE1" w:rsidP="0040137D">
            <w:pPr>
              <w:jc w:val="center"/>
              <w:rPr>
                <w:rFonts w:ascii="Arial" w:hAnsi="Arial" w:cs="Arial"/>
                <w:b/>
                <w:bCs/>
                <w:sz w:val="16"/>
                <w:szCs w:val="16"/>
              </w:rPr>
            </w:pPr>
            <w:r w:rsidRPr="00F56223">
              <w:rPr>
                <w:rFonts w:ascii="Arial" w:hAnsi="Arial" w:cs="Arial"/>
                <w:b/>
                <w:bCs/>
                <w:sz w:val="16"/>
                <w:szCs w:val="16"/>
              </w:rPr>
              <w:t>$</w:t>
            </w:r>
          </w:p>
        </w:tc>
      </w:tr>
      <w:tr w:rsidR="00096FE1" w:rsidRPr="00F56223" w14:paraId="01D40CE6" w14:textId="77777777" w:rsidTr="00096FE1">
        <w:trPr>
          <w:trHeight w:val="227"/>
        </w:trPr>
        <w:tc>
          <w:tcPr>
            <w:tcW w:w="3543" w:type="dxa"/>
            <w:tcBorders>
              <w:top w:val="nil"/>
              <w:left w:val="nil"/>
              <w:bottom w:val="nil"/>
              <w:right w:val="nil"/>
            </w:tcBorders>
            <w:shd w:val="clear" w:color="auto" w:fill="auto"/>
            <w:vAlign w:val="bottom"/>
            <w:hideMark/>
          </w:tcPr>
          <w:p w14:paraId="5FFA9629" w14:textId="77777777" w:rsidR="00096FE1" w:rsidRPr="00E34397" w:rsidRDefault="00096FE1" w:rsidP="009558AB">
            <w:pPr>
              <w:rPr>
                <w:rFonts w:ascii="Arial" w:hAnsi="Arial" w:cs="Arial"/>
                <w:b/>
                <w:bCs/>
                <w:sz w:val="16"/>
                <w:szCs w:val="16"/>
              </w:rPr>
            </w:pPr>
            <w:r w:rsidRPr="00E34397">
              <w:rPr>
                <w:rFonts w:ascii="Arial" w:hAnsi="Arial" w:cs="Arial"/>
                <w:b/>
                <w:bCs/>
                <w:sz w:val="16"/>
                <w:szCs w:val="16"/>
              </w:rPr>
              <w:t>Cost</w:t>
            </w:r>
          </w:p>
        </w:tc>
        <w:tc>
          <w:tcPr>
            <w:tcW w:w="1985" w:type="dxa"/>
            <w:tcBorders>
              <w:top w:val="nil"/>
              <w:left w:val="nil"/>
              <w:bottom w:val="nil"/>
              <w:right w:val="nil"/>
            </w:tcBorders>
            <w:shd w:val="clear" w:color="auto" w:fill="auto"/>
            <w:vAlign w:val="bottom"/>
            <w:hideMark/>
          </w:tcPr>
          <w:p w14:paraId="2B5F7D56" w14:textId="77777777" w:rsidR="00096FE1" w:rsidRPr="00E34397" w:rsidRDefault="00096FE1" w:rsidP="009558AB">
            <w:pPr>
              <w:rPr>
                <w:rFonts w:ascii="Arial" w:hAnsi="Arial" w:cs="Arial"/>
                <w:color w:val="000000"/>
                <w:sz w:val="20"/>
                <w:szCs w:val="20"/>
              </w:rPr>
            </w:pPr>
            <w:r w:rsidRPr="00E34397">
              <w:rPr>
                <w:rFonts w:ascii="Arial" w:hAnsi="Arial" w:cs="Arial"/>
                <w:color w:val="000000"/>
                <w:sz w:val="20"/>
                <w:szCs w:val="20"/>
              </w:rPr>
              <w:t> </w:t>
            </w:r>
          </w:p>
        </w:tc>
      </w:tr>
      <w:tr w:rsidR="00096FE1" w:rsidRPr="00F56223" w14:paraId="5DE28D7D" w14:textId="77777777" w:rsidTr="00096FE1">
        <w:trPr>
          <w:trHeight w:val="240"/>
        </w:trPr>
        <w:tc>
          <w:tcPr>
            <w:tcW w:w="3543" w:type="dxa"/>
            <w:tcBorders>
              <w:top w:val="nil"/>
              <w:left w:val="nil"/>
              <w:bottom w:val="single" w:sz="4" w:space="0" w:color="000000"/>
              <w:right w:val="nil"/>
            </w:tcBorders>
            <w:shd w:val="clear" w:color="auto" w:fill="auto"/>
            <w:vAlign w:val="bottom"/>
            <w:hideMark/>
          </w:tcPr>
          <w:p w14:paraId="011DBF9C" w14:textId="47AF1408" w:rsidR="00096FE1" w:rsidRPr="000D250C" w:rsidRDefault="00096FE1" w:rsidP="00AB58EF">
            <w:pPr>
              <w:rPr>
                <w:rFonts w:ascii="Arial" w:hAnsi="Arial" w:cs="Arial"/>
                <w:sz w:val="16"/>
                <w:szCs w:val="16"/>
              </w:rPr>
            </w:pPr>
            <w:r w:rsidRPr="000D250C">
              <w:rPr>
                <w:rFonts w:ascii="Arial" w:hAnsi="Arial" w:cs="Arial"/>
                <w:sz w:val="16"/>
                <w:szCs w:val="16"/>
              </w:rPr>
              <w:t>Balance, December 31, 202</w:t>
            </w:r>
            <w:r w:rsidR="00A767AC">
              <w:rPr>
                <w:rFonts w:ascii="Arial" w:hAnsi="Arial" w:cs="Arial"/>
                <w:sz w:val="16"/>
                <w:szCs w:val="16"/>
              </w:rPr>
              <w:t>2</w:t>
            </w:r>
          </w:p>
        </w:tc>
        <w:tc>
          <w:tcPr>
            <w:tcW w:w="1985" w:type="dxa"/>
            <w:tcBorders>
              <w:top w:val="nil"/>
              <w:left w:val="nil"/>
              <w:bottom w:val="single" w:sz="4" w:space="0" w:color="000000"/>
              <w:right w:val="nil"/>
            </w:tcBorders>
            <w:shd w:val="clear" w:color="auto" w:fill="auto"/>
            <w:noWrap/>
            <w:vAlign w:val="bottom"/>
            <w:hideMark/>
          </w:tcPr>
          <w:p w14:paraId="6D4C83BC" w14:textId="0C87232E" w:rsidR="00096FE1" w:rsidRPr="00E34397" w:rsidRDefault="00096FE1" w:rsidP="009558AB">
            <w:pPr>
              <w:ind w:firstLineChars="300" w:firstLine="480"/>
              <w:jc w:val="right"/>
              <w:rPr>
                <w:rFonts w:ascii="Arial" w:hAnsi="Arial" w:cs="Arial"/>
                <w:bCs/>
                <w:color w:val="000000"/>
                <w:sz w:val="16"/>
                <w:szCs w:val="16"/>
              </w:rPr>
            </w:pPr>
            <w:r w:rsidRPr="00E34397">
              <w:rPr>
                <w:rFonts w:ascii="Arial" w:hAnsi="Arial" w:cs="Arial"/>
                <w:bCs/>
                <w:color w:val="000000"/>
                <w:sz w:val="16"/>
                <w:szCs w:val="16"/>
              </w:rPr>
              <w:t xml:space="preserve">13,120   </w:t>
            </w:r>
          </w:p>
        </w:tc>
      </w:tr>
      <w:tr w:rsidR="00096FE1" w:rsidRPr="00F56223" w14:paraId="0D99E417" w14:textId="77777777" w:rsidTr="00096FE1">
        <w:trPr>
          <w:trHeight w:val="240"/>
        </w:trPr>
        <w:tc>
          <w:tcPr>
            <w:tcW w:w="3543" w:type="dxa"/>
            <w:tcBorders>
              <w:top w:val="nil"/>
              <w:left w:val="nil"/>
              <w:bottom w:val="single" w:sz="4" w:space="0" w:color="000000"/>
              <w:right w:val="nil"/>
            </w:tcBorders>
            <w:shd w:val="clear" w:color="auto" w:fill="auto"/>
            <w:vAlign w:val="bottom"/>
          </w:tcPr>
          <w:p w14:paraId="57CF0AAB" w14:textId="04A33D1E" w:rsidR="00096FE1" w:rsidRPr="00E34397" w:rsidRDefault="00096FE1" w:rsidP="00E34397">
            <w:pPr>
              <w:rPr>
                <w:rFonts w:ascii="Arial" w:hAnsi="Arial" w:cs="Arial"/>
                <w:b/>
                <w:bCs/>
                <w:sz w:val="16"/>
                <w:szCs w:val="16"/>
              </w:rPr>
            </w:pPr>
            <w:r w:rsidRPr="00E34397">
              <w:rPr>
                <w:rFonts w:ascii="Arial" w:hAnsi="Arial" w:cs="Arial"/>
                <w:b/>
                <w:bCs/>
                <w:sz w:val="16"/>
                <w:szCs w:val="16"/>
              </w:rPr>
              <w:t>Balance, December 31, 202</w:t>
            </w:r>
            <w:r w:rsidR="00E27923">
              <w:rPr>
                <w:rFonts w:ascii="Arial" w:hAnsi="Arial" w:cs="Arial"/>
                <w:b/>
                <w:bCs/>
                <w:sz w:val="16"/>
                <w:szCs w:val="16"/>
              </w:rPr>
              <w:t>3</w:t>
            </w:r>
          </w:p>
        </w:tc>
        <w:tc>
          <w:tcPr>
            <w:tcW w:w="1985" w:type="dxa"/>
            <w:tcBorders>
              <w:top w:val="nil"/>
              <w:left w:val="nil"/>
              <w:bottom w:val="single" w:sz="4" w:space="0" w:color="000000"/>
              <w:right w:val="nil"/>
            </w:tcBorders>
            <w:shd w:val="clear" w:color="auto" w:fill="auto"/>
            <w:noWrap/>
            <w:vAlign w:val="bottom"/>
          </w:tcPr>
          <w:p w14:paraId="3CD92C72" w14:textId="34794810" w:rsidR="00096FE1" w:rsidRPr="006C4AA3" w:rsidRDefault="00096FE1" w:rsidP="00E34397">
            <w:pPr>
              <w:ind w:firstLineChars="300" w:firstLine="489"/>
              <w:jc w:val="right"/>
              <w:rPr>
                <w:rFonts w:ascii="Arial" w:hAnsi="Arial" w:cs="Arial"/>
                <w:b/>
                <w:color w:val="000000"/>
                <w:sz w:val="16"/>
                <w:szCs w:val="16"/>
              </w:rPr>
            </w:pPr>
            <w:r w:rsidRPr="006C4AA3">
              <w:rPr>
                <w:rFonts w:ascii="Arial" w:hAnsi="Arial" w:cs="Arial"/>
                <w:b/>
                <w:color w:val="000000"/>
                <w:sz w:val="16"/>
                <w:szCs w:val="16"/>
              </w:rPr>
              <w:t xml:space="preserve">13,120   </w:t>
            </w:r>
          </w:p>
        </w:tc>
      </w:tr>
      <w:tr w:rsidR="00096FE1" w:rsidRPr="00F56223" w14:paraId="733B5B5A" w14:textId="77777777" w:rsidTr="00096FE1">
        <w:trPr>
          <w:trHeight w:val="240"/>
        </w:trPr>
        <w:tc>
          <w:tcPr>
            <w:tcW w:w="3543" w:type="dxa"/>
            <w:tcBorders>
              <w:top w:val="nil"/>
              <w:left w:val="nil"/>
              <w:bottom w:val="single" w:sz="4" w:space="0" w:color="000000"/>
              <w:right w:val="nil"/>
            </w:tcBorders>
            <w:shd w:val="clear" w:color="auto" w:fill="auto"/>
            <w:vAlign w:val="bottom"/>
          </w:tcPr>
          <w:p w14:paraId="4A3AD250" w14:textId="2B677C4B" w:rsidR="00096FE1" w:rsidRPr="00E34397" w:rsidRDefault="00096FE1" w:rsidP="00E34397">
            <w:pPr>
              <w:rPr>
                <w:rFonts w:ascii="Arial" w:hAnsi="Arial" w:cs="Arial"/>
                <w:b/>
                <w:bCs/>
                <w:sz w:val="16"/>
                <w:szCs w:val="16"/>
              </w:rPr>
            </w:pPr>
          </w:p>
        </w:tc>
        <w:tc>
          <w:tcPr>
            <w:tcW w:w="1985" w:type="dxa"/>
            <w:tcBorders>
              <w:top w:val="nil"/>
              <w:left w:val="nil"/>
              <w:bottom w:val="single" w:sz="4" w:space="0" w:color="000000"/>
              <w:right w:val="nil"/>
            </w:tcBorders>
            <w:shd w:val="clear" w:color="auto" w:fill="auto"/>
            <w:noWrap/>
            <w:vAlign w:val="bottom"/>
          </w:tcPr>
          <w:p w14:paraId="4DA3221A" w14:textId="62567F88" w:rsidR="00096FE1" w:rsidRPr="00E34397" w:rsidRDefault="00096FE1" w:rsidP="00E34397">
            <w:pPr>
              <w:ind w:firstLineChars="300" w:firstLine="480"/>
              <w:jc w:val="right"/>
              <w:rPr>
                <w:rFonts w:ascii="Arial" w:hAnsi="Arial" w:cs="Arial"/>
                <w:bCs/>
                <w:color w:val="000000"/>
                <w:sz w:val="16"/>
                <w:szCs w:val="16"/>
              </w:rPr>
            </w:pPr>
          </w:p>
        </w:tc>
      </w:tr>
      <w:tr w:rsidR="00096FE1" w:rsidRPr="00F56223" w14:paraId="3D522925" w14:textId="77777777" w:rsidTr="00096FE1">
        <w:trPr>
          <w:trHeight w:val="227"/>
        </w:trPr>
        <w:tc>
          <w:tcPr>
            <w:tcW w:w="3543" w:type="dxa"/>
            <w:tcBorders>
              <w:top w:val="nil"/>
              <w:left w:val="nil"/>
              <w:bottom w:val="nil"/>
              <w:right w:val="nil"/>
            </w:tcBorders>
            <w:shd w:val="clear" w:color="auto" w:fill="auto"/>
            <w:vAlign w:val="bottom"/>
            <w:hideMark/>
          </w:tcPr>
          <w:p w14:paraId="575AE7E0" w14:textId="77777777" w:rsidR="00096FE1" w:rsidRPr="00E34397" w:rsidRDefault="00096FE1" w:rsidP="00E34397">
            <w:pPr>
              <w:rPr>
                <w:rFonts w:ascii="Arial" w:hAnsi="Arial" w:cs="Arial"/>
                <w:b/>
                <w:bCs/>
                <w:sz w:val="16"/>
                <w:szCs w:val="16"/>
              </w:rPr>
            </w:pPr>
            <w:r w:rsidRPr="00E34397">
              <w:rPr>
                <w:rFonts w:ascii="Arial" w:hAnsi="Arial" w:cs="Arial"/>
                <w:b/>
                <w:bCs/>
                <w:sz w:val="16"/>
                <w:szCs w:val="16"/>
              </w:rPr>
              <w:t>Accumulated depreciation</w:t>
            </w:r>
          </w:p>
        </w:tc>
        <w:tc>
          <w:tcPr>
            <w:tcW w:w="1985" w:type="dxa"/>
            <w:tcBorders>
              <w:top w:val="nil"/>
              <w:left w:val="nil"/>
              <w:bottom w:val="nil"/>
              <w:right w:val="nil"/>
            </w:tcBorders>
            <w:shd w:val="clear" w:color="auto" w:fill="auto"/>
            <w:vAlign w:val="bottom"/>
            <w:hideMark/>
          </w:tcPr>
          <w:p w14:paraId="557E52B1" w14:textId="77777777" w:rsidR="00096FE1" w:rsidRPr="00E34397" w:rsidRDefault="00096FE1" w:rsidP="00E34397">
            <w:pPr>
              <w:jc w:val="right"/>
              <w:rPr>
                <w:rFonts w:ascii="Arial" w:hAnsi="Arial" w:cs="Arial"/>
                <w:color w:val="000000"/>
                <w:sz w:val="20"/>
                <w:szCs w:val="20"/>
              </w:rPr>
            </w:pPr>
            <w:r w:rsidRPr="00E34397">
              <w:rPr>
                <w:rFonts w:ascii="Arial" w:hAnsi="Arial" w:cs="Arial"/>
                <w:color w:val="000000"/>
                <w:sz w:val="20"/>
                <w:szCs w:val="20"/>
              </w:rPr>
              <w:t> </w:t>
            </w:r>
          </w:p>
        </w:tc>
      </w:tr>
      <w:tr w:rsidR="00096FE1" w:rsidRPr="00F56223" w14:paraId="5CA92B1B" w14:textId="77777777" w:rsidTr="00096FE1">
        <w:trPr>
          <w:trHeight w:val="225"/>
        </w:trPr>
        <w:tc>
          <w:tcPr>
            <w:tcW w:w="3543" w:type="dxa"/>
            <w:tcBorders>
              <w:top w:val="nil"/>
              <w:left w:val="nil"/>
              <w:right w:val="nil"/>
            </w:tcBorders>
            <w:shd w:val="clear" w:color="auto" w:fill="auto"/>
            <w:vAlign w:val="bottom"/>
            <w:hideMark/>
          </w:tcPr>
          <w:p w14:paraId="3ED54E45" w14:textId="44FFB61F" w:rsidR="00096FE1" w:rsidRPr="000D250C" w:rsidRDefault="00096FE1" w:rsidP="006C23EB">
            <w:pPr>
              <w:rPr>
                <w:rFonts w:ascii="Arial" w:hAnsi="Arial" w:cs="Arial"/>
                <w:sz w:val="16"/>
                <w:szCs w:val="16"/>
              </w:rPr>
            </w:pPr>
            <w:r w:rsidRPr="000D250C">
              <w:rPr>
                <w:rFonts w:ascii="Arial" w:hAnsi="Arial" w:cs="Arial"/>
                <w:sz w:val="16"/>
                <w:szCs w:val="16"/>
              </w:rPr>
              <w:t xml:space="preserve">Balance, </w:t>
            </w:r>
            <w:r w:rsidR="00A767AC">
              <w:rPr>
                <w:rFonts w:ascii="Arial" w:hAnsi="Arial" w:cs="Arial"/>
                <w:sz w:val="16"/>
                <w:szCs w:val="16"/>
              </w:rPr>
              <w:t>January</w:t>
            </w:r>
            <w:r w:rsidRPr="000D250C">
              <w:rPr>
                <w:rFonts w:ascii="Arial" w:hAnsi="Arial" w:cs="Arial"/>
                <w:sz w:val="16"/>
                <w:szCs w:val="16"/>
              </w:rPr>
              <w:t xml:space="preserve"> 1, 202</w:t>
            </w:r>
            <w:r w:rsidR="00A767AC">
              <w:rPr>
                <w:rFonts w:ascii="Arial" w:hAnsi="Arial" w:cs="Arial"/>
                <w:sz w:val="16"/>
                <w:szCs w:val="16"/>
              </w:rPr>
              <w:t>2</w:t>
            </w:r>
          </w:p>
        </w:tc>
        <w:tc>
          <w:tcPr>
            <w:tcW w:w="1985" w:type="dxa"/>
            <w:tcBorders>
              <w:top w:val="nil"/>
              <w:left w:val="nil"/>
              <w:right w:val="nil"/>
            </w:tcBorders>
            <w:shd w:val="clear" w:color="auto" w:fill="auto"/>
            <w:noWrap/>
            <w:vAlign w:val="bottom"/>
            <w:hideMark/>
          </w:tcPr>
          <w:p w14:paraId="18288BB4" w14:textId="144F4D9F" w:rsidR="00096FE1" w:rsidRPr="00E27923" w:rsidRDefault="00096FE1" w:rsidP="006C23EB">
            <w:pPr>
              <w:ind w:firstLineChars="300" w:firstLine="480"/>
              <w:jc w:val="right"/>
              <w:rPr>
                <w:rFonts w:ascii="Arial" w:hAnsi="Arial" w:cs="Arial"/>
                <w:color w:val="000000"/>
                <w:sz w:val="16"/>
                <w:szCs w:val="16"/>
              </w:rPr>
            </w:pPr>
            <w:r w:rsidRPr="00E27923">
              <w:rPr>
                <w:rFonts w:ascii="Arial" w:hAnsi="Arial" w:cs="Arial"/>
                <w:bCs/>
                <w:color w:val="000000"/>
                <w:sz w:val="16"/>
                <w:szCs w:val="16"/>
              </w:rPr>
              <w:t>12,375</w:t>
            </w:r>
          </w:p>
        </w:tc>
      </w:tr>
      <w:tr w:rsidR="00096FE1" w:rsidRPr="00F56223" w14:paraId="673CCF64" w14:textId="77777777" w:rsidTr="00096FE1">
        <w:trPr>
          <w:trHeight w:val="225"/>
        </w:trPr>
        <w:tc>
          <w:tcPr>
            <w:tcW w:w="3543" w:type="dxa"/>
            <w:tcBorders>
              <w:top w:val="nil"/>
              <w:left w:val="nil"/>
              <w:right w:val="nil"/>
            </w:tcBorders>
            <w:shd w:val="clear" w:color="auto" w:fill="auto"/>
            <w:vAlign w:val="bottom"/>
            <w:hideMark/>
          </w:tcPr>
          <w:p w14:paraId="60E7A1B8" w14:textId="7D8D398A" w:rsidR="00096FE1" w:rsidRPr="00E34397" w:rsidRDefault="00096FE1" w:rsidP="00E34397">
            <w:pPr>
              <w:ind w:firstLineChars="100" w:firstLine="160"/>
              <w:rPr>
                <w:rFonts w:ascii="Arial" w:hAnsi="Arial" w:cs="Arial"/>
                <w:sz w:val="16"/>
                <w:szCs w:val="16"/>
              </w:rPr>
            </w:pPr>
            <w:r w:rsidRPr="00E34397">
              <w:rPr>
                <w:rFonts w:ascii="Arial" w:hAnsi="Arial" w:cs="Arial"/>
                <w:sz w:val="16"/>
                <w:szCs w:val="16"/>
              </w:rPr>
              <w:t>Depreciation for the</w:t>
            </w:r>
            <w:r w:rsidR="003B2CC3">
              <w:rPr>
                <w:rFonts w:ascii="Arial" w:hAnsi="Arial" w:cs="Arial"/>
                <w:sz w:val="16"/>
                <w:szCs w:val="16"/>
              </w:rPr>
              <w:t xml:space="preserve"> year</w:t>
            </w:r>
            <w:r w:rsidRPr="00E34397">
              <w:rPr>
                <w:rFonts w:ascii="Arial" w:hAnsi="Arial" w:cs="Arial"/>
                <w:sz w:val="16"/>
                <w:szCs w:val="16"/>
              </w:rPr>
              <w:t xml:space="preserve"> </w:t>
            </w:r>
          </w:p>
        </w:tc>
        <w:tc>
          <w:tcPr>
            <w:tcW w:w="1985" w:type="dxa"/>
            <w:tcBorders>
              <w:top w:val="nil"/>
              <w:left w:val="nil"/>
              <w:right w:val="nil"/>
            </w:tcBorders>
            <w:shd w:val="clear" w:color="auto" w:fill="auto"/>
            <w:noWrap/>
            <w:vAlign w:val="bottom"/>
          </w:tcPr>
          <w:p w14:paraId="3133F3CD" w14:textId="0F3294BC" w:rsidR="00096FE1" w:rsidRPr="00E27923" w:rsidRDefault="00096FE1" w:rsidP="00160D87">
            <w:pPr>
              <w:jc w:val="right"/>
              <w:rPr>
                <w:rFonts w:ascii="Arial" w:hAnsi="Arial" w:cs="Arial"/>
                <w:bCs/>
                <w:sz w:val="16"/>
                <w:szCs w:val="16"/>
                <w:lang w:val="en-US"/>
              </w:rPr>
            </w:pPr>
            <w:r w:rsidRPr="00E27923">
              <w:rPr>
                <w:rFonts w:ascii="Arial" w:hAnsi="Arial" w:cs="Arial"/>
                <w:bCs/>
                <w:sz w:val="16"/>
                <w:szCs w:val="16"/>
              </w:rPr>
              <w:t>195</w:t>
            </w:r>
          </w:p>
        </w:tc>
      </w:tr>
      <w:tr w:rsidR="00E27923" w:rsidRPr="00F56223" w14:paraId="277E2E44" w14:textId="77777777" w:rsidTr="00096FE1">
        <w:trPr>
          <w:trHeight w:val="225"/>
        </w:trPr>
        <w:tc>
          <w:tcPr>
            <w:tcW w:w="3543" w:type="dxa"/>
            <w:tcBorders>
              <w:top w:val="nil"/>
              <w:left w:val="nil"/>
              <w:right w:val="nil"/>
            </w:tcBorders>
            <w:shd w:val="clear" w:color="auto" w:fill="auto"/>
            <w:vAlign w:val="bottom"/>
          </w:tcPr>
          <w:p w14:paraId="39E41803" w14:textId="1A63A703" w:rsidR="00E27923" w:rsidRPr="00E27923" w:rsidRDefault="00E27923" w:rsidP="00E27923">
            <w:pPr>
              <w:rPr>
                <w:rFonts w:ascii="Arial" w:hAnsi="Arial" w:cs="Arial"/>
                <w:sz w:val="16"/>
                <w:szCs w:val="16"/>
              </w:rPr>
            </w:pPr>
            <w:r w:rsidRPr="00E27923">
              <w:rPr>
                <w:rFonts w:ascii="Arial" w:hAnsi="Arial" w:cs="Arial"/>
                <w:bCs/>
                <w:sz w:val="16"/>
                <w:szCs w:val="16"/>
              </w:rPr>
              <w:t>Balance, December 31, 2022</w:t>
            </w:r>
          </w:p>
        </w:tc>
        <w:tc>
          <w:tcPr>
            <w:tcW w:w="1985" w:type="dxa"/>
            <w:tcBorders>
              <w:top w:val="nil"/>
              <w:left w:val="nil"/>
              <w:right w:val="nil"/>
            </w:tcBorders>
            <w:shd w:val="clear" w:color="auto" w:fill="auto"/>
            <w:noWrap/>
            <w:vAlign w:val="bottom"/>
          </w:tcPr>
          <w:p w14:paraId="7E79F378" w14:textId="7C0AD934" w:rsidR="00E27923" w:rsidRPr="00E27923" w:rsidRDefault="00E27923" w:rsidP="00E27923">
            <w:pPr>
              <w:jc w:val="right"/>
              <w:rPr>
                <w:rFonts w:ascii="Arial" w:hAnsi="Arial" w:cs="Arial"/>
                <w:bCs/>
                <w:sz w:val="16"/>
                <w:szCs w:val="16"/>
              </w:rPr>
            </w:pPr>
            <w:r w:rsidRPr="00E27923">
              <w:rPr>
                <w:rFonts w:ascii="Arial" w:hAnsi="Arial" w:cs="Arial"/>
                <w:b/>
                <w:color w:val="000000"/>
                <w:sz w:val="16"/>
                <w:szCs w:val="16"/>
              </w:rPr>
              <w:t>12,570</w:t>
            </w:r>
          </w:p>
        </w:tc>
      </w:tr>
      <w:tr w:rsidR="00E27923" w:rsidRPr="00F56223" w14:paraId="6222D6DE" w14:textId="77777777" w:rsidTr="00096FE1">
        <w:trPr>
          <w:trHeight w:val="225"/>
        </w:trPr>
        <w:tc>
          <w:tcPr>
            <w:tcW w:w="3543" w:type="dxa"/>
            <w:tcBorders>
              <w:top w:val="nil"/>
              <w:left w:val="nil"/>
              <w:right w:val="nil"/>
            </w:tcBorders>
            <w:shd w:val="clear" w:color="auto" w:fill="auto"/>
            <w:vAlign w:val="bottom"/>
          </w:tcPr>
          <w:p w14:paraId="44907BEB" w14:textId="1B26E0E6" w:rsidR="00E27923" w:rsidRPr="00E34397" w:rsidRDefault="00E27923" w:rsidP="00E27923">
            <w:pPr>
              <w:ind w:firstLineChars="100" w:firstLine="160"/>
              <w:rPr>
                <w:rFonts w:ascii="Arial" w:hAnsi="Arial" w:cs="Arial"/>
                <w:sz w:val="16"/>
                <w:szCs w:val="16"/>
              </w:rPr>
            </w:pPr>
            <w:r w:rsidRPr="00E34397">
              <w:rPr>
                <w:rFonts w:ascii="Arial" w:hAnsi="Arial" w:cs="Arial"/>
                <w:sz w:val="16"/>
                <w:szCs w:val="16"/>
              </w:rPr>
              <w:t>Depreciation for the</w:t>
            </w:r>
            <w:r w:rsidR="003B2CC3">
              <w:rPr>
                <w:rFonts w:ascii="Arial" w:hAnsi="Arial" w:cs="Arial"/>
                <w:sz w:val="16"/>
                <w:szCs w:val="16"/>
              </w:rPr>
              <w:t xml:space="preserve"> year</w:t>
            </w:r>
            <w:r w:rsidRPr="00E34397">
              <w:rPr>
                <w:rFonts w:ascii="Arial" w:hAnsi="Arial" w:cs="Arial"/>
                <w:sz w:val="16"/>
                <w:szCs w:val="16"/>
              </w:rPr>
              <w:t xml:space="preserve"> </w:t>
            </w:r>
          </w:p>
        </w:tc>
        <w:tc>
          <w:tcPr>
            <w:tcW w:w="1985" w:type="dxa"/>
            <w:tcBorders>
              <w:top w:val="nil"/>
              <w:left w:val="nil"/>
              <w:right w:val="nil"/>
            </w:tcBorders>
            <w:shd w:val="clear" w:color="auto" w:fill="auto"/>
            <w:noWrap/>
            <w:vAlign w:val="bottom"/>
          </w:tcPr>
          <w:p w14:paraId="75EEB857" w14:textId="05A66F51" w:rsidR="00E27923" w:rsidRPr="00E27923" w:rsidRDefault="00E27923" w:rsidP="00E27923">
            <w:pPr>
              <w:jc w:val="right"/>
              <w:rPr>
                <w:rFonts w:ascii="Arial" w:hAnsi="Arial" w:cs="Arial"/>
                <w:bCs/>
                <w:sz w:val="16"/>
                <w:szCs w:val="16"/>
              </w:rPr>
            </w:pPr>
            <w:r w:rsidRPr="00E27923">
              <w:rPr>
                <w:rFonts w:ascii="Arial" w:hAnsi="Arial" w:cs="Arial"/>
                <w:bCs/>
                <w:sz w:val="16"/>
                <w:szCs w:val="16"/>
              </w:rPr>
              <w:t>144</w:t>
            </w:r>
          </w:p>
        </w:tc>
      </w:tr>
      <w:tr w:rsidR="00E27923" w:rsidRPr="00F56223" w14:paraId="74B09243" w14:textId="77777777" w:rsidTr="00096FE1">
        <w:trPr>
          <w:trHeight w:val="227"/>
        </w:trPr>
        <w:tc>
          <w:tcPr>
            <w:tcW w:w="3543" w:type="dxa"/>
            <w:tcBorders>
              <w:top w:val="nil"/>
              <w:left w:val="nil"/>
              <w:bottom w:val="single" w:sz="4" w:space="0" w:color="000000"/>
              <w:right w:val="nil"/>
            </w:tcBorders>
            <w:shd w:val="clear" w:color="auto" w:fill="auto"/>
            <w:vAlign w:val="bottom"/>
            <w:hideMark/>
          </w:tcPr>
          <w:p w14:paraId="22ED1263" w14:textId="460482C5" w:rsidR="00E27923" w:rsidRPr="00E34397" w:rsidRDefault="00E27923" w:rsidP="00E27923">
            <w:pPr>
              <w:rPr>
                <w:rFonts w:ascii="Arial" w:hAnsi="Arial" w:cs="Arial"/>
                <w:b/>
                <w:bCs/>
                <w:sz w:val="16"/>
                <w:szCs w:val="16"/>
              </w:rPr>
            </w:pPr>
            <w:r w:rsidRPr="00E34397">
              <w:rPr>
                <w:rFonts w:ascii="Arial" w:hAnsi="Arial" w:cs="Arial"/>
                <w:b/>
                <w:bCs/>
                <w:sz w:val="16"/>
                <w:szCs w:val="16"/>
              </w:rPr>
              <w:t>Balance, December 31, 202</w:t>
            </w:r>
            <w:r>
              <w:rPr>
                <w:rFonts w:ascii="Arial" w:hAnsi="Arial" w:cs="Arial"/>
                <w:b/>
                <w:bCs/>
                <w:sz w:val="16"/>
                <w:szCs w:val="16"/>
              </w:rPr>
              <w:t>3</w:t>
            </w:r>
          </w:p>
        </w:tc>
        <w:tc>
          <w:tcPr>
            <w:tcW w:w="1985" w:type="dxa"/>
            <w:tcBorders>
              <w:top w:val="nil"/>
              <w:left w:val="nil"/>
              <w:bottom w:val="single" w:sz="4" w:space="0" w:color="000000"/>
              <w:right w:val="nil"/>
            </w:tcBorders>
            <w:shd w:val="clear" w:color="auto" w:fill="auto"/>
            <w:noWrap/>
            <w:vAlign w:val="bottom"/>
          </w:tcPr>
          <w:p w14:paraId="7BE71862" w14:textId="62BF7506" w:rsidR="00E27923" w:rsidRPr="00E27923" w:rsidRDefault="00E27923" w:rsidP="00E27923">
            <w:pPr>
              <w:jc w:val="right"/>
              <w:rPr>
                <w:rFonts w:ascii="Arial" w:hAnsi="Arial" w:cs="Arial"/>
                <w:b/>
                <w:color w:val="000000"/>
                <w:sz w:val="16"/>
                <w:szCs w:val="16"/>
                <w:lang w:val="en-US"/>
              </w:rPr>
            </w:pPr>
            <w:r w:rsidRPr="00E27923">
              <w:rPr>
                <w:rFonts w:ascii="Arial" w:hAnsi="Arial" w:cs="Arial"/>
                <w:b/>
                <w:color w:val="000000"/>
                <w:sz w:val="16"/>
                <w:szCs w:val="16"/>
              </w:rPr>
              <w:t>12,714</w:t>
            </w:r>
          </w:p>
        </w:tc>
      </w:tr>
      <w:tr w:rsidR="00E27923" w:rsidRPr="00F56223" w14:paraId="5B007875" w14:textId="77777777" w:rsidTr="00096FE1">
        <w:trPr>
          <w:trHeight w:val="227"/>
        </w:trPr>
        <w:tc>
          <w:tcPr>
            <w:tcW w:w="3543" w:type="dxa"/>
            <w:tcBorders>
              <w:top w:val="nil"/>
              <w:left w:val="nil"/>
              <w:bottom w:val="nil"/>
              <w:right w:val="nil"/>
            </w:tcBorders>
            <w:shd w:val="clear" w:color="auto" w:fill="auto"/>
            <w:vAlign w:val="bottom"/>
            <w:hideMark/>
          </w:tcPr>
          <w:p w14:paraId="34E80B2D" w14:textId="77777777" w:rsidR="00E27923" w:rsidRPr="00E34397" w:rsidRDefault="00E27923" w:rsidP="00E27923">
            <w:pPr>
              <w:rPr>
                <w:rFonts w:ascii="Arial" w:hAnsi="Arial" w:cs="Arial"/>
                <w:b/>
                <w:bCs/>
                <w:sz w:val="16"/>
                <w:szCs w:val="16"/>
              </w:rPr>
            </w:pPr>
            <w:r w:rsidRPr="00E34397">
              <w:rPr>
                <w:rFonts w:ascii="Arial" w:hAnsi="Arial" w:cs="Arial"/>
                <w:b/>
                <w:bCs/>
                <w:sz w:val="16"/>
                <w:szCs w:val="16"/>
              </w:rPr>
              <w:t>Carrying amounts</w:t>
            </w:r>
          </w:p>
        </w:tc>
        <w:tc>
          <w:tcPr>
            <w:tcW w:w="1985" w:type="dxa"/>
            <w:tcBorders>
              <w:top w:val="nil"/>
              <w:left w:val="nil"/>
              <w:bottom w:val="single" w:sz="4" w:space="0" w:color="auto"/>
              <w:right w:val="nil"/>
            </w:tcBorders>
            <w:shd w:val="clear" w:color="auto" w:fill="auto"/>
            <w:vAlign w:val="bottom"/>
            <w:hideMark/>
          </w:tcPr>
          <w:p w14:paraId="45019A7C" w14:textId="77777777" w:rsidR="00E27923" w:rsidRPr="00E27923" w:rsidRDefault="00E27923" w:rsidP="00E27923">
            <w:pPr>
              <w:jc w:val="right"/>
              <w:rPr>
                <w:rFonts w:ascii="Arial" w:hAnsi="Arial" w:cs="Arial"/>
                <w:color w:val="000000"/>
                <w:sz w:val="20"/>
                <w:szCs w:val="20"/>
              </w:rPr>
            </w:pPr>
            <w:r w:rsidRPr="00E27923">
              <w:rPr>
                <w:rFonts w:ascii="Arial" w:hAnsi="Arial" w:cs="Arial"/>
                <w:color w:val="000000"/>
                <w:sz w:val="20"/>
                <w:szCs w:val="20"/>
              </w:rPr>
              <w:t> </w:t>
            </w:r>
          </w:p>
        </w:tc>
      </w:tr>
      <w:tr w:rsidR="00E27923" w:rsidRPr="00F56223" w14:paraId="6A7EA9D7" w14:textId="77777777" w:rsidTr="00096FE1">
        <w:trPr>
          <w:trHeight w:val="227"/>
        </w:trPr>
        <w:tc>
          <w:tcPr>
            <w:tcW w:w="3543" w:type="dxa"/>
            <w:tcBorders>
              <w:top w:val="single" w:sz="4" w:space="0" w:color="000000"/>
              <w:left w:val="nil"/>
              <w:bottom w:val="nil"/>
              <w:right w:val="nil"/>
            </w:tcBorders>
            <w:shd w:val="clear" w:color="auto" w:fill="auto"/>
            <w:vAlign w:val="bottom"/>
          </w:tcPr>
          <w:p w14:paraId="1293B76C" w14:textId="56232623" w:rsidR="00E27923" w:rsidRPr="00E27923" w:rsidRDefault="00E27923" w:rsidP="00E27923">
            <w:pPr>
              <w:rPr>
                <w:rFonts w:ascii="Arial" w:hAnsi="Arial" w:cs="Arial"/>
                <w:sz w:val="16"/>
                <w:szCs w:val="16"/>
              </w:rPr>
            </w:pPr>
            <w:r w:rsidRPr="00E27923">
              <w:rPr>
                <w:rFonts w:ascii="Arial" w:hAnsi="Arial" w:cs="Arial"/>
                <w:bCs/>
                <w:sz w:val="16"/>
                <w:szCs w:val="16"/>
              </w:rPr>
              <w:t>December 31, 2022</w:t>
            </w:r>
          </w:p>
        </w:tc>
        <w:tc>
          <w:tcPr>
            <w:tcW w:w="1985" w:type="dxa"/>
            <w:tcBorders>
              <w:top w:val="nil"/>
              <w:left w:val="nil"/>
              <w:bottom w:val="single" w:sz="4" w:space="0" w:color="000000"/>
              <w:right w:val="nil"/>
            </w:tcBorders>
            <w:shd w:val="clear" w:color="auto" w:fill="auto"/>
            <w:noWrap/>
            <w:vAlign w:val="bottom"/>
          </w:tcPr>
          <w:p w14:paraId="47F05877" w14:textId="1D7B0221" w:rsidR="00E27923" w:rsidRPr="00E27923" w:rsidRDefault="00E27923" w:rsidP="00E27923">
            <w:pPr>
              <w:ind w:firstLineChars="300" w:firstLine="480"/>
              <w:jc w:val="right"/>
              <w:rPr>
                <w:rFonts w:ascii="Arial" w:hAnsi="Arial" w:cs="Arial"/>
                <w:bCs/>
                <w:color w:val="000000"/>
                <w:sz w:val="16"/>
                <w:szCs w:val="16"/>
              </w:rPr>
            </w:pPr>
            <w:r w:rsidRPr="00E27923">
              <w:rPr>
                <w:rFonts w:ascii="Arial" w:hAnsi="Arial" w:cs="Arial"/>
                <w:bCs/>
                <w:color w:val="000000"/>
                <w:sz w:val="16"/>
                <w:szCs w:val="16"/>
              </w:rPr>
              <w:t>550</w:t>
            </w:r>
          </w:p>
        </w:tc>
      </w:tr>
      <w:tr w:rsidR="00E27923" w:rsidRPr="007B6D27" w14:paraId="243CA22C" w14:textId="77777777" w:rsidTr="00096FE1">
        <w:trPr>
          <w:trHeight w:val="227"/>
        </w:trPr>
        <w:tc>
          <w:tcPr>
            <w:tcW w:w="3543" w:type="dxa"/>
            <w:tcBorders>
              <w:top w:val="single" w:sz="4" w:space="0" w:color="000000"/>
              <w:left w:val="nil"/>
              <w:bottom w:val="single" w:sz="4" w:space="0" w:color="auto"/>
              <w:right w:val="nil"/>
            </w:tcBorders>
            <w:shd w:val="clear" w:color="auto" w:fill="auto"/>
            <w:vAlign w:val="bottom"/>
            <w:hideMark/>
          </w:tcPr>
          <w:p w14:paraId="0E80CC09" w14:textId="06B4A022" w:rsidR="00E27923" w:rsidRPr="00E34397" w:rsidRDefault="00E27923" w:rsidP="00E27923">
            <w:pPr>
              <w:rPr>
                <w:rFonts w:ascii="Arial" w:hAnsi="Arial" w:cs="Arial"/>
                <w:b/>
                <w:bCs/>
                <w:sz w:val="16"/>
                <w:szCs w:val="16"/>
              </w:rPr>
            </w:pPr>
            <w:r w:rsidRPr="00E34397">
              <w:rPr>
                <w:rFonts w:ascii="Arial" w:hAnsi="Arial" w:cs="Arial"/>
                <w:b/>
                <w:bCs/>
                <w:sz w:val="16"/>
                <w:szCs w:val="16"/>
              </w:rPr>
              <w:t>December 31, 202</w:t>
            </w:r>
            <w:r>
              <w:rPr>
                <w:rFonts w:ascii="Arial" w:hAnsi="Arial" w:cs="Arial"/>
                <w:b/>
                <w:bCs/>
                <w:sz w:val="16"/>
                <w:szCs w:val="16"/>
              </w:rPr>
              <w:t>3</w:t>
            </w:r>
          </w:p>
        </w:tc>
        <w:tc>
          <w:tcPr>
            <w:tcW w:w="1985" w:type="dxa"/>
            <w:tcBorders>
              <w:top w:val="nil"/>
              <w:left w:val="nil"/>
              <w:bottom w:val="single" w:sz="4" w:space="0" w:color="000000"/>
              <w:right w:val="nil"/>
            </w:tcBorders>
            <w:shd w:val="clear" w:color="auto" w:fill="auto"/>
            <w:noWrap/>
            <w:vAlign w:val="bottom"/>
          </w:tcPr>
          <w:p w14:paraId="7E2029CA" w14:textId="09C5E955" w:rsidR="00E27923" w:rsidRPr="00E27923" w:rsidRDefault="00E27923" w:rsidP="00E27923">
            <w:pPr>
              <w:jc w:val="right"/>
              <w:rPr>
                <w:rFonts w:ascii="Arial" w:hAnsi="Arial" w:cs="Arial"/>
                <w:b/>
                <w:bCs/>
                <w:color w:val="000000"/>
                <w:sz w:val="16"/>
                <w:szCs w:val="16"/>
                <w:lang w:val="en-US"/>
              </w:rPr>
            </w:pPr>
            <w:r w:rsidRPr="00E27923">
              <w:rPr>
                <w:rFonts w:ascii="Arial" w:hAnsi="Arial" w:cs="Arial"/>
                <w:b/>
                <w:bCs/>
                <w:color w:val="000000"/>
                <w:sz w:val="16"/>
                <w:szCs w:val="16"/>
              </w:rPr>
              <w:t>406</w:t>
            </w:r>
          </w:p>
        </w:tc>
      </w:tr>
    </w:tbl>
    <w:p w14:paraId="298EF458" w14:textId="77777777" w:rsidR="000A4896" w:rsidRDefault="000A4896" w:rsidP="000A4896">
      <w:pPr>
        <w:autoSpaceDE w:val="0"/>
        <w:autoSpaceDN w:val="0"/>
        <w:adjustRightInd w:val="0"/>
        <w:ind w:left="851"/>
        <w:jc w:val="both"/>
        <w:rPr>
          <w:rFonts w:ascii="Arial" w:hAnsi="Arial" w:cs="Arial"/>
          <w:sz w:val="16"/>
          <w:szCs w:val="16"/>
        </w:rPr>
      </w:pPr>
    </w:p>
    <w:p w14:paraId="07D195F4" w14:textId="70D1460C" w:rsidR="003F47BC" w:rsidRDefault="003F47BC">
      <w:pPr>
        <w:widowControl w:val="0"/>
        <w:autoSpaceDE w:val="0"/>
        <w:autoSpaceDN w:val="0"/>
        <w:rPr>
          <w:rFonts w:ascii="Arial" w:hAnsi="Arial" w:cs="Arial"/>
          <w:sz w:val="16"/>
          <w:szCs w:val="16"/>
        </w:rPr>
      </w:pPr>
      <w:r>
        <w:rPr>
          <w:rFonts w:ascii="Arial" w:hAnsi="Arial" w:cs="Arial"/>
          <w:sz w:val="16"/>
          <w:szCs w:val="16"/>
        </w:rPr>
        <w:br w:type="page"/>
      </w:r>
    </w:p>
    <w:p w14:paraId="4E2B9980" w14:textId="77777777" w:rsidR="003F47BC" w:rsidRDefault="003F47BC" w:rsidP="000A4896">
      <w:pPr>
        <w:autoSpaceDE w:val="0"/>
        <w:autoSpaceDN w:val="0"/>
        <w:adjustRightInd w:val="0"/>
        <w:ind w:left="851"/>
        <w:jc w:val="both"/>
        <w:rPr>
          <w:rFonts w:ascii="Arial" w:hAnsi="Arial" w:cs="Arial"/>
          <w:sz w:val="16"/>
          <w:szCs w:val="16"/>
        </w:rPr>
      </w:pPr>
    </w:p>
    <w:p w14:paraId="50BC2F9E" w14:textId="77777777" w:rsidR="000A1D2E" w:rsidRDefault="000A1D2E" w:rsidP="000A4896">
      <w:pPr>
        <w:autoSpaceDE w:val="0"/>
        <w:autoSpaceDN w:val="0"/>
        <w:adjustRightInd w:val="0"/>
        <w:ind w:left="851"/>
        <w:jc w:val="both"/>
        <w:rPr>
          <w:rFonts w:ascii="Arial" w:hAnsi="Arial" w:cs="Arial"/>
          <w:sz w:val="16"/>
          <w:szCs w:val="16"/>
        </w:rPr>
      </w:pPr>
    </w:p>
    <w:p w14:paraId="206C24B6" w14:textId="038BFB3D" w:rsidR="00A46CF8" w:rsidRPr="002F2A6C" w:rsidRDefault="000242C4" w:rsidP="00033D76">
      <w:pPr>
        <w:pStyle w:val="ListParagraph"/>
        <w:numPr>
          <w:ilvl w:val="0"/>
          <w:numId w:val="6"/>
        </w:numPr>
        <w:tabs>
          <w:tab w:val="left" w:pos="1134"/>
        </w:tabs>
        <w:ind w:left="851" w:firstLine="0"/>
        <w:rPr>
          <w:rFonts w:ascii="Arial" w:hAnsi="Arial" w:cs="Arial"/>
          <w:b/>
          <w:sz w:val="16"/>
          <w:szCs w:val="16"/>
        </w:rPr>
      </w:pPr>
      <w:r w:rsidRPr="002F2A6C">
        <w:rPr>
          <w:rFonts w:ascii="Arial" w:hAnsi="Arial" w:cs="Arial"/>
          <w:b/>
          <w:bCs/>
          <w:sz w:val="16"/>
          <w:szCs w:val="16"/>
        </w:rPr>
        <w:t>EXPLORATION AND EVALUATION</w:t>
      </w:r>
    </w:p>
    <w:p w14:paraId="024539A0" w14:textId="77777777" w:rsidR="00B6525E" w:rsidRPr="00B6525E" w:rsidRDefault="00B6525E" w:rsidP="00033D76">
      <w:pPr>
        <w:pStyle w:val="ListParagraph"/>
        <w:tabs>
          <w:tab w:val="left" w:pos="1002"/>
        </w:tabs>
        <w:ind w:left="851" w:firstLine="0"/>
        <w:rPr>
          <w:rFonts w:ascii="Arial" w:hAnsi="Arial" w:cs="Arial"/>
          <w:b/>
          <w:sz w:val="18"/>
        </w:rPr>
      </w:pPr>
    </w:p>
    <w:p w14:paraId="3A683DBF" w14:textId="5317F7A1" w:rsidR="00F41479" w:rsidRPr="00A10E12" w:rsidRDefault="00B6525E" w:rsidP="00284064">
      <w:pPr>
        <w:pStyle w:val="ListParagraph"/>
        <w:tabs>
          <w:tab w:val="left" w:pos="1002"/>
        </w:tabs>
        <w:ind w:left="1003" w:firstLine="0"/>
        <w:rPr>
          <w:rFonts w:ascii="Arial" w:hAnsi="Arial" w:cs="Arial"/>
          <w:b/>
          <w:bCs/>
          <w:sz w:val="16"/>
          <w:szCs w:val="16"/>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tbl>
      <w:tblPr>
        <w:tblW w:w="9360" w:type="dxa"/>
        <w:tblInd w:w="270" w:type="dxa"/>
        <w:tblLayout w:type="fixed"/>
        <w:tblLook w:val="04A0" w:firstRow="1" w:lastRow="0" w:firstColumn="1" w:lastColumn="0" w:noHBand="0" w:noVBand="1"/>
      </w:tblPr>
      <w:tblGrid>
        <w:gridCol w:w="1620"/>
        <w:gridCol w:w="1080"/>
        <w:gridCol w:w="1080"/>
        <w:gridCol w:w="990"/>
        <w:gridCol w:w="1134"/>
        <w:gridCol w:w="936"/>
        <w:gridCol w:w="1260"/>
        <w:gridCol w:w="1260"/>
      </w:tblGrid>
      <w:tr w:rsidR="003F47BC" w:rsidRPr="000B6069" w14:paraId="54A952F0" w14:textId="77777777" w:rsidTr="00A7016F">
        <w:trPr>
          <w:trHeight w:val="340"/>
        </w:trPr>
        <w:tc>
          <w:tcPr>
            <w:tcW w:w="9360" w:type="dxa"/>
            <w:gridSpan w:val="8"/>
            <w:tcBorders>
              <w:top w:val="nil"/>
              <w:left w:val="nil"/>
              <w:bottom w:val="single" w:sz="4" w:space="0" w:color="auto"/>
            </w:tcBorders>
            <w:shd w:val="clear" w:color="auto" w:fill="auto"/>
          </w:tcPr>
          <w:p w14:paraId="6142A463" w14:textId="65097F01" w:rsidR="003F47BC" w:rsidRPr="000B6069" w:rsidRDefault="003F47BC" w:rsidP="00A7016F">
            <w:pPr>
              <w:jc w:val="center"/>
              <w:rPr>
                <w:rFonts w:ascii="Arial" w:hAnsi="Arial" w:cs="Arial"/>
                <w:b/>
                <w:bCs/>
                <w:sz w:val="16"/>
                <w:szCs w:val="16"/>
                <w:lang w:val="en-US"/>
              </w:rPr>
            </w:pPr>
            <w:r w:rsidRPr="00A10E12">
              <w:rPr>
                <w:rFonts w:ascii="Arial" w:hAnsi="Arial" w:cs="Arial"/>
                <w:b/>
                <w:bCs/>
                <w:sz w:val="16"/>
                <w:szCs w:val="16"/>
              </w:rPr>
              <w:t>For the year ended December 31, 2023</w:t>
            </w:r>
          </w:p>
        </w:tc>
      </w:tr>
      <w:tr w:rsidR="00607E1A" w:rsidRPr="000B6069" w14:paraId="1CD4DF45" w14:textId="77777777" w:rsidTr="0097553A">
        <w:trPr>
          <w:trHeight w:val="246"/>
        </w:trPr>
        <w:tc>
          <w:tcPr>
            <w:tcW w:w="1620" w:type="dxa"/>
            <w:tcBorders>
              <w:top w:val="nil"/>
              <w:left w:val="nil"/>
              <w:bottom w:val="single" w:sz="4" w:space="0" w:color="auto"/>
              <w:right w:val="nil"/>
            </w:tcBorders>
            <w:shd w:val="clear" w:color="auto" w:fill="auto"/>
            <w:vAlign w:val="bottom"/>
            <w:hideMark/>
          </w:tcPr>
          <w:p w14:paraId="31BAFA45" w14:textId="77777777" w:rsidR="00607E1A" w:rsidRPr="000B6069" w:rsidRDefault="00607E1A" w:rsidP="0097553A">
            <w:pPr>
              <w:ind w:firstLineChars="100" w:firstLine="163"/>
              <w:rPr>
                <w:rFonts w:ascii="Arial" w:hAnsi="Arial" w:cs="Arial"/>
                <w:b/>
                <w:bCs/>
                <w:sz w:val="16"/>
                <w:szCs w:val="16"/>
                <w:lang w:val="en-US"/>
              </w:rPr>
            </w:pPr>
          </w:p>
        </w:tc>
        <w:tc>
          <w:tcPr>
            <w:tcW w:w="1080" w:type="dxa"/>
            <w:tcBorders>
              <w:top w:val="nil"/>
              <w:left w:val="nil"/>
              <w:bottom w:val="single" w:sz="4" w:space="0" w:color="auto"/>
              <w:right w:val="nil"/>
            </w:tcBorders>
            <w:shd w:val="clear" w:color="auto" w:fill="auto"/>
            <w:vAlign w:val="bottom"/>
            <w:hideMark/>
          </w:tcPr>
          <w:p w14:paraId="6D1FF411" w14:textId="77777777" w:rsidR="00607E1A" w:rsidRPr="000B6069" w:rsidRDefault="00607E1A" w:rsidP="00A7016F">
            <w:pPr>
              <w:jc w:val="right"/>
              <w:rPr>
                <w:rFonts w:ascii="Arial" w:hAnsi="Arial" w:cs="Arial"/>
                <w:b/>
                <w:bCs/>
                <w:sz w:val="16"/>
                <w:szCs w:val="16"/>
                <w:lang w:val="en-US"/>
              </w:rPr>
            </w:pPr>
            <w:r w:rsidRPr="000B6069">
              <w:rPr>
                <w:rFonts w:ascii="Arial" w:hAnsi="Arial" w:cs="Arial"/>
                <w:b/>
                <w:bCs/>
                <w:sz w:val="16"/>
                <w:szCs w:val="16"/>
                <w:lang w:val="en-US"/>
              </w:rPr>
              <w:t>Manitoba Nickel</w:t>
            </w:r>
          </w:p>
        </w:tc>
        <w:tc>
          <w:tcPr>
            <w:tcW w:w="1080" w:type="dxa"/>
            <w:tcBorders>
              <w:top w:val="nil"/>
              <w:left w:val="nil"/>
              <w:bottom w:val="single" w:sz="4" w:space="0" w:color="auto"/>
              <w:right w:val="nil"/>
            </w:tcBorders>
            <w:shd w:val="clear" w:color="auto" w:fill="auto"/>
            <w:vAlign w:val="bottom"/>
            <w:hideMark/>
          </w:tcPr>
          <w:p w14:paraId="7DE3298E" w14:textId="77777777" w:rsidR="00607E1A" w:rsidRPr="000B6069" w:rsidRDefault="00607E1A" w:rsidP="0097553A">
            <w:pPr>
              <w:jc w:val="right"/>
              <w:rPr>
                <w:rFonts w:ascii="Arial" w:hAnsi="Arial" w:cs="Arial"/>
                <w:b/>
                <w:bCs/>
                <w:sz w:val="16"/>
                <w:szCs w:val="16"/>
                <w:lang w:val="en-US"/>
              </w:rPr>
            </w:pPr>
            <w:r w:rsidRPr="000B6069">
              <w:rPr>
                <w:rFonts w:ascii="Arial" w:hAnsi="Arial" w:cs="Arial"/>
                <w:b/>
                <w:bCs/>
                <w:sz w:val="16"/>
                <w:szCs w:val="16"/>
                <w:lang w:val="en-US"/>
              </w:rPr>
              <w:t>Teta-</w:t>
            </w:r>
          </w:p>
          <w:p w14:paraId="0EBE36AF" w14:textId="77777777" w:rsidR="00607E1A" w:rsidRPr="000B6069" w:rsidRDefault="00607E1A" w:rsidP="0097553A">
            <w:pPr>
              <w:ind w:firstLineChars="100" w:firstLine="163"/>
              <w:jc w:val="right"/>
              <w:rPr>
                <w:rFonts w:ascii="Arial" w:hAnsi="Arial" w:cs="Arial"/>
                <w:b/>
                <w:bCs/>
                <w:sz w:val="16"/>
                <w:szCs w:val="16"/>
                <w:lang w:val="en-US"/>
              </w:rPr>
            </w:pPr>
            <w:proofErr w:type="spellStart"/>
            <w:r w:rsidRPr="000B6069">
              <w:rPr>
                <w:rFonts w:ascii="Arial" w:hAnsi="Arial" w:cs="Arial"/>
                <w:b/>
                <w:bCs/>
                <w:sz w:val="16"/>
                <w:szCs w:val="16"/>
                <w:lang w:val="en-US"/>
              </w:rPr>
              <w:t>gouche</w:t>
            </w:r>
            <w:proofErr w:type="spellEnd"/>
          </w:p>
        </w:tc>
        <w:tc>
          <w:tcPr>
            <w:tcW w:w="990" w:type="dxa"/>
            <w:tcBorders>
              <w:top w:val="nil"/>
              <w:left w:val="nil"/>
              <w:bottom w:val="single" w:sz="4" w:space="0" w:color="auto"/>
              <w:right w:val="nil"/>
            </w:tcBorders>
            <w:shd w:val="clear" w:color="auto" w:fill="auto"/>
            <w:vAlign w:val="bottom"/>
            <w:hideMark/>
          </w:tcPr>
          <w:p w14:paraId="3244820F" w14:textId="77777777" w:rsidR="00607E1A" w:rsidRPr="000B6069" w:rsidRDefault="00607E1A" w:rsidP="0097553A">
            <w:pPr>
              <w:jc w:val="right"/>
              <w:rPr>
                <w:rFonts w:ascii="Arial" w:hAnsi="Arial" w:cs="Arial"/>
                <w:b/>
                <w:bCs/>
                <w:sz w:val="16"/>
                <w:szCs w:val="16"/>
                <w:lang w:val="en-US"/>
              </w:rPr>
            </w:pPr>
            <w:r w:rsidRPr="000B6069">
              <w:rPr>
                <w:rFonts w:ascii="Arial" w:hAnsi="Arial" w:cs="Arial"/>
                <w:b/>
                <w:bCs/>
                <w:sz w:val="16"/>
                <w:szCs w:val="16"/>
                <w:lang w:val="en-US"/>
              </w:rPr>
              <w:t>Pickett Mountain</w:t>
            </w:r>
          </w:p>
        </w:tc>
        <w:tc>
          <w:tcPr>
            <w:tcW w:w="1134" w:type="dxa"/>
            <w:tcBorders>
              <w:top w:val="nil"/>
              <w:left w:val="nil"/>
              <w:bottom w:val="single" w:sz="4" w:space="0" w:color="auto"/>
              <w:right w:val="nil"/>
            </w:tcBorders>
            <w:shd w:val="clear" w:color="auto" w:fill="auto"/>
            <w:vAlign w:val="bottom"/>
            <w:hideMark/>
          </w:tcPr>
          <w:p w14:paraId="093E52EB" w14:textId="77777777" w:rsidR="00607E1A" w:rsidRPr="000B6069" w:rsidRDefault="00607E1A" w:rsidP="0097553A">
            <w:pPr>
              <w:ind w:firstLineChars="100" w:firstLine="163"/>
              <w:jc w:val="right"/>
              <w:rPr>
                <w:rFonts w:ascii="Arial" w:hAnsi="Arial" w:cs="Arial"/>
                <w:b/>
                <w:bCs/>
                <w:sz w:val="16"/>
                <w:szCs w:val="16"/>
                <w:lang w:val="en-US"/>
              </w:rPr>
            </w:pPr>
            <w:r w:rsidRPr="000B6069">
              <w:rPr>
                <w:rFonts w:ascii="Arial" w:hAnsi="Arial" w:cs="Arial"/>
                <w:b/>
                <w:bCs/>
                <w:sz w:val="16"/>
                <w:szCs w:val="16"/>
                <w:lang w:val="en-US"/>
              </w:rPr>
              <w:t>Big Silver</w:t>
            </w:r>
          </w:p>
        </w:tc>
        <w:tc>
          <w:tcPr>
            <w:tcW w:w="936" w:type="dxa"/>
            <w:tcBorders>
              <w:top w:val="nil"/>
              <w:left w:val="nil"/>
              <w:bottom w:val="single" w:sz="4" w:space="0" w:color="auto"/>
              <w:right w:val="nil"/>
            </w:tcBorders>
            <w:vAlign w:val="bottom"/>
          </w:tcPr>
          <w:p w14:paraId="36FFB034" w14:textId="77777777" w:rsidR="00607E1A" w:rsidRPr="000B6069" w:rsidRDefault="00607E1A" w:rsidP="0097553A">
            <w:pPr>
              <w:jc w:val="right"/>
              <w:rPr>
                <w:rFonts w:ascii="Arial" w:hAnsi="Arial" w:cs="Arial"/>
                <w:b/>
                <w:bCs/>
                <w:sz w:val="16"/>
                <w:szCs w:val="16"/>
                <w:lang w:val="en-US"/>
              </w:rPr>
            </w:pPr>
            <w:r w:rsidRPr="000B6069">
              <w:rPr>
                <w:rFonts w:ascii="Arial" w:hAnsi="Arial" w:cs="Arial"/>
                <w:b/>
                <w:bCs/>
                <w:sz w:val="16"/>
                <w:szCs w:val="16"/>
                <w:lang w:val="en-US"/>
              </w:rPr>
              <w:t>Other</w:t>
            </w:r>
          </w:p>
        </w:tc>
        <w:tc>
          <w:tcPr>
            <w:tcW w:w="1260" w:type="dxa"/>
            <w:tcBorders>
              <w:top w:val="nil"/>
              <w:left w:val="nil"/>
              <w:bottom w:val="single" w:sz="4" w:space="0" w:color="auto"/>
              <w:right w:val="nil"/>
            </w:tcBorders>
            <w:shd w:val="clear" w:color="auto" w:fill="auto"/>
            <w:vAlign w:val="bottom"/>
            <w:hideMark/>
          </w:tcPr>
          <w:p w14:paraId="1B1FCD54" w14:textId="77777777" w:rsidR="00382BF1" w:rsidRDefault="00607E1A" w:rsidP="0097553A">
            <w:pPr>
              <w:jc w:val="right"/>
              <w:rPr>
                <w:rFonts w:ascii="Arial" w:hAnsi="Arial" w:cs="Arial"/>
                <w:b/>
                <w:bCs/>
                <w:sz w:val="16"/>
                <w:szCs w:val="16"/>
                <w:lang w:val="en-US"/>
              </w:rPr>
            </w:pPr>
            <w:r>
              <w:rPr>
                <w:rFonts w:ascii="Arial" w:hAnsi="Arial" w:cs="Arial"/>
                <w:b/>
                <w:bCs/>
                <w:sz w:val="16"/>
                <w:szCs w:val="16"/>
                <w:lang w:val="en-US"/>
              </w:rPr>
              <w:t>Total for</w:t>
            </w:r>
          </w:p>
          <w:p w14:paraId="0A178287" w14:textId="57BD7AE0" w:rsidR="00607E1A" w:rsidRPr="000B6069" w:rsidRDefault="00607E1A" w:rsidP="0097553A">
            <w:pPr>
              <w:jc w:val="right"/>
              <w:rPr>
                <w:rFonts w:ascii="Arial" w:hAnsi="Arial" w:cs="Arial"/>
                <w:b/>
                <w:bCs/>
                <w:sz w:val="16"/>
                <w:szCs w:val="16"/>
                <w:lang w:val="en-US"/>
              </w:rPr>
            </w:pPr>
            <w:r>
              <w:rPr>
                <w:rFonts w:ascii="Arial" w:hAnsi="Arial" w:cs="Arial"/>
                <w:b/>
                <w:bCs/>
                <w:sz w:val="16"/>
                <w:szCs w:val="16"/>
                <w:lang w:val="en-US"/>
              </w:rPr>
              <w:t xml:space="preserve"> </w:t>
            </w:r>
            <w:r w:rsidRPr="000B6069">
              <w:rPr>
                <w:rFonts w:ascii="Arial" w:hAnsi="Arial" w:cs="Arial"/>
                <w:b/>
                <w:bCs/>
                <w:sz w:val="16"/>
                <w:szCs w:val="16"/>
                <w:lang w:val="en-US"/>
              </w:rPr>
              <w:t>2023</w:t>
            </w:r>
          </w:p>
        </w:tc>
        <w:tc>
          <w:tcPr>
            <w:tcW w:w="1260" w:type="dxa"/>
            <w:tcBorders>
              <w:top w:val="nil"/>
              <w:left w:val="nil"/>
              <w:bottom w:val="single" w:sz="4" w:space="0" w:color="auto"/>
              <w:right w:val="nil"/>
            </w:tcBorders>
            <w:shd w:val="clear" w:color="auto" w:fill="auto"/>
            <w:vAlign w:val="bottom"/>
            <w:hideMark/>
          </w:tcPr>
          <w:p w14:paraId="42F71B08" w14:textId="67834D52" w:rsidR="00607E1A" w:rsidRPr="000B6069" w:rsidRDefault="00607E1A" w:rsidP="0097553A">
            <w:pPr>
              <w:ind w:firstLineChars="100" w:firstLine="163"/>
              <w:jc w:val="right"/>
              <w:rPr>
                <w:rFonts w:ascii="Arial" w:hAnsi="Arial" w:cs="Arial"/>
                <w:b/>
                <w:bCs/>
                <w:sz w:val="16"/>
                <w:szCs w:val="16"/>
                <w:lang w:val="en-US"/>
              </w:rPr>
            </w:pPr>
            <w:r w:rsidRPr="000B6069">
              <w:rPr>
                <w:rFonts w:ascii="Arial" w:hAnsi="Arial" w:cs="Arial"/>
                <w:b/>
                <w:bCs/>
                <w:sz w:val="16"/>
                <w:szCs w:val="16"/>
                <w:lang w:val="en-US"/>
              </w:rPr>
              <w:t>Total</w:t>
            </w:r>
            <w:r w:rsidR="00382BF1">
              <w:rPr>
                <w:rFonts w:ascii="Arial" w:hAnsi="Arial" w:cs="Arial"/>
                <w:b/>
                <w:bCs/>
                <w:sz w:val="16"/>
                <w:szCs w:val="16"/>
                <w:lang w:val="en-US"/>
              </w:rPr>
              <w:t xml:space="preserve"> from</w:t>
            </w:r>
            <w:r w:rsidRPr="000B6069">
              <w:rPr>
                <w:rFonts w:ascii="Arial" w:hAnsi="Arial" w:cs="Arial"/>
                <w:b/>
                <w:bCs/>
                <w:sz w:val="16"/>
                <w:szCs w:val="16"/>
                <w:lang w:val="en-US"/>
              </w:rPr>
              <w:t xml:space="preserve"> inception</w:t>
            </w:r>
          </w:p>
        </w:tc>
      </w:tr>
      <w:tr w:rsidR="00A3262A" w:rsidRPr="000B6069" w14:paraId="33E7745D" w14:textId="77777777" w:rsidTr="00A7016F">
        <w:trPr>
          <w:trHeight w:val="113"/>
        </w:trPr>
        <w:tc>
          <w:tcPr>
            <w:tcW w:w="1620" w:type="dxa"/>
            <w:tcBorders>
              <w:top w:val="single" w:sz="4" w:space="0" w:color="auto"/>
              <w:left w:val="nil"/>
              <w:bottom w:val="nil"/>
              <w:right w:val="nil"/>
            </w:tcBorders>
            <w:shd w:val="clear" w:color="auto" w:fill="auto"/>
            <w:vAlign w:val="bottom"/>
          </w:tcPr>
          <w:p w14:paraId="2E92D9F0" w14:textId="77777777" w:rsidR="00A3262A" w:rsidRPr="00A10E12" w:rsidRDefault="00A3262A" w:rsidP="0097553A">
            <w:pPr>
              <w:rPr>
                <w:rFonts w:ascii="Arial" w:hAnsi="Arial" w:cs="Arial"/>
                <w:sz w:val="16"/>
                <w:szCs w:val="16"/>
                <w:lang w:val="en-US"/>
              </w:rPr>
            </w:pPr>
          </w:p>
        </w:tc>
        <w:tc>
          <w:tcPr>
            <w:tcW w:w="1080" w:type="dxa"/>
            <w:tcBorders>
              <w:top w:val="single" w:sz="4" w:space="0" w:color="auto"/>
              <w:left w:val="nil"/>
              <w:bottom w:val="nil"/>
              <w:right w:val="nil"/>
            </w:tcBorders>
            <w:shd w:val="clear" w:color="auto" w:fill="auto"/>
            <w:vAlign w:val="bottom"/>
          </w:tcPr>
          <w:p w14:paraId="52BFA1C1" w14:textId="134074C9" w:rsidR="00A3262A" w:rsidRPr="00A10E12" w:rsidRDefault="00A3262A" w:rsidP="0097553A">
            <w:pPr>
              <w:jc w:val="right"/>
              <w:rPr>
                <w:rFonts w:ascii="Arial" w:hAnsi="Arial" w:cs="Arial"/>
                <w:sz w:val="16"/>
                <w:szCs w:val="16"/>
              </w:rPr>
            </w:pPr>
            <w:r>
              <w:rPr>
                <w:rFonts w:ascii="Arial" w:hAnsi="Arial" w:cs="Arial"/>
                <w:sz w:val="16"/>
                <w:szCs w:val="16"/>
              </w:rPr>
              <w:t>$</w:t>
            </w:r>
          </w:p>
        </w:tc>
        <w:tc>
          <w:tcPr>
            <w:tcW w:w="1080" w:type="dxa"/>
            <w:tcBorders>
              <w:top w:val="single" w:sz="4" w:space="0" w:color="auto"/>
              <w:left w:val="nil"/>
              <w:bottom w:val="nil"/>
              <w:right w:val="nil"/>
            </w:tcBorders>
            <w:shd w:val="clear" w:color="auto" w:fill="auto"/>
            <w:vAlign w:val="bottom"/>
          </w:tcPr>
          <w:p w14:paraId="1CAD5397" w14:textId="42E28B1D" w:rsidR="00A3262A" w:rsidRPr="00A10E12" w:rsidRDefault="00A3262A" w:rsidP="0097553A">
            <w:pPr>
              <w:jc w:val="right"/>
              <w:rPr>
                <w:rFonts w:ascii="Arial" w:hAnsi="Arial" w:cs="Arial"/>
                <w:sz w:val="16"/>
                <w:szCs w:val="16"/>
              </w:rPr>
            </w:pPr>
            <w:r>
              <w:rPr>
                <w:rFonts w:ascii="Arial" w:hAnsi="Arial" w:cs="Arial"/>
                <w:sz w:val="16"/>
                <w:szCs w:val="16"/>
              </w:rPr>
              <w:t>$</w:t>
            </w:r>
          </w:p>
        </w:tc>
        <w:tc>
          <w:tcPr>
            <w:tcW w:w="990" w:type="dxa"/>
            <w:tcBorders>
              <w:top w:val="single" w:sz="4" w:space="0" w:color="auto"/>
              <w:left w:val="nil"/>
              <w:bottom w:val="nil"/>
              <w:right w:val="nil"/>
            </w:tcBorders>
            <w:shd w:val="clear" w:color="auto" w:fill="auto"/>
            <w:vAlign w:val="bottom"/>
          </w:tcPr>
          <w:p w14:paraId="406C7F9A" w14:textId="5D6F7BFC" w:rsidR="00A3262A" w:rsidRPr="00A10E12" w:rsidRDefault="00A3262A" w:rsidP="0097553A">
            <w:pPr>
              <w:jc w:val="right"/>
              <w:rPr>
                <w:rFonts w:ascii="Arial" w:hAnsi="Arial" w:cs="Arial"/>
                <w:sz w:val="16"/>
                <w:szCs w:val="16"/>
              </w:rPr>
            </w:pPr>
            <w:r>
              <w:rPr>
                <w:rFonts w:ascii="Arial" w:hAnsi="Arial" w:cs="Arial"/>
                <w:sz w:val="16"/>
                <w:szCs w:val="16"/>
              </w:rPr>
              <w:t>$</w:t>
            </w:r>
          </w:p>
        </w:tc>
        <w:tc>
          <w:tcPr>
            <w:tcW w:w="1134" w:type="dxa"/>
            <w:tcBorders>
              <w:top w:val="single" w:sz="4" w:space="0" w:color="auto"/>
              <w:left w:val="nil"/>
              <w:bottom w:val="nil"/>
              <w:right w:val="nil"/>
            </w:tcBorders>
            <w:shd w:val="clear" w:color="auto" w:fill="auto"/>
            <w:vAlign w:val="bottom"/>
          </w:tcPr>
          <w:p w14:paraId="1D68162E" w14:textId="398538CB" w:rsidR="00A3262A" w:rsidRPr="00A10E12" w:rsidRDefault="00A3262A" w:rsidP="0097553A">
            <w:pPr>
              <w:jc w:val="right"/>
              <w:rPr>
                <w:rFonts w:ascii="Arial" w:hAnsi="Arial" w:cs="Arial"/>
                <w:sz w:val="16"/>
                <w:szCs w:val="16"/>
              </w:rPr>
            </w:pPr>
            <w:r>
              <w:rPr>
                <w:rFonts w:ascii="Arial" w:hAnsi="Arial" w:cs="Arial"/>
                <w:sz w:val="16"/>
                <w:szCs w:val="16"/>
              </w:rPr>
              <w:t>$</w:t>
            </w:r>
          </w:p>
        </w:tc>
        <w:tc>
          <w:tcPr>
            <w:tcW w:w="936" w:type="dxa"/>
            <w:tcBorders>
              <w:top w:val="single" w:sz="4" w:space="0" w:color="auto"/>
              <w:left w:val="nil"/>
              <w:bottom w:val="nil"/>
              <w:right w:val="nil"/>
            </w:tcBorders>
            <w:vAlign w:val="bottom"/>
          </w:tcPr>
          <w:p w14:paraId="3D27B761" w14:textId="218E959F" w:rsidR="00A3262A" w:rsidRPr="00A10E12" w:rsidRDefault="00A3262A" w:rsidP="0097553A">
            <w:pPr>
              <w:jc w:val="right"/>
              <w:rPr>
                <w:rFonts w:ascii="Arial" w:hAnsi="Arial" w:cs="Arial"/>
                <w:sz w:val="16"/>
                <w:szCs w:val="16"/>
              </w:rPr>
            </w:pPr>
            <w:r>
              <w:rPr>
                <w:rFonts w:ascii="Arial" w:hAnsi="Arial" w:cs="Arial"/>
                <w:sz w:val="16"/>
                <w:szCs w:val="16"/>
              </w:rPr>
              <w:t>$</w:t>
            </w:r>
          </w:p>
        </w:tc>
        <w:tc>
          <w:tcPr>
            <w:tcW w:w="1260" w:type="dxa"/>
            <w:tcBorders>
              <w:top w:val="single" w:sz="4" w:space="0" w:color="auto"/>
              <w:left w:val="nil"/>
              <w:bottom w:val="nil"/>
              <w:right w:val="nil"/>
            </w:tcBorders>
            <w:shd w:val="clear" w:color="auto" w:fill="auto"/>
            <w:vAlign w:val="bottom"/>
          </w:tcPr>
          <w:p w14:paraId="37B2E7D2" w14:textId="27CDB3B8" w:rsidR="00A3262A" w:rsidRPr="00A10E12" w:rsidRDefault="00A3262A" w:rsidP="0097553A">
            <w:pPr>
              <w:jc w:val="right"/>
              <w:rPr>
                <w:rFonts w:ascii="Arial" w:hAnsi="Arial" w:cs="Arial"/>
                <w:b/>
                <w:bCs/>
                <w:sz w:val="16"/>
                <w:szCs w:val="16"/>
              </w:rPr>
            </w:pPr>
            <w:r>
              <w:rPr>
                <w:rFonts w:ascii="Arial" w:hAnsi="Arial" w:cs="Arial"/>
                <w:b/>
                <w:bCs/>
                <w:sz w:val="16"/>
                <w:szCs w:val="16"/>
              </w:rPr>
              <w:t>$</w:t>
            </w:r>
          </w:p>
        </w:tc>
        <w:tc>
          <w:tcPr>
            <w:tcW w:w="1260" w:type="dxa"/>
            <w:tcBorders>
              <w:top w:val="single" w:sz="4" w:space="0" w:color="auto"/>
              <w:left w:val="nil"/>
              <w:bottom w:val="nil"/>
              <w:right w:val="nil"/>
            </w:tcBorders>
            <w:shd w:val="clear" w:color="auto" w:fill="auto"/>
            <w:noWrap/>
            <w:vAlign w:val="bottom"/>
          </w:tcPr>
          <w:p w14:paraId="65742620" w14:textId="43A6FD54" w:rsidR="00A3262A" w:rsidRPr="00AB42F3" w:rsidRDefault="00A3262A" w:rsidP="0097553A">
            <w:pPr>
              <w:jc w:val="right"/>
              <w:rPr>
                <w:rFonts w:ascii="Arial" w:hAnsi="Arial" w:cs="Arial"/>
                <w:b/>
                <w:sz w:val="16"/>
                <w:szCs w:val="16"/>
              </w:rPr>
            </w:pPr>
            <w:r>
              <w:rPr>
                <w:rFonts w:ascii="Arial" w:hAnsi="Arial" w:cs="Arial"/>
                <w:b/>
                <w:sz w:val="16"/>
                <w:szCs w:val="16"/>
              </w:rPr>
              <w:t>$</w:t>
            </w:r>
          </w:p>
        </w:tc>
      </w:tr>
      <w:tr w:rsidR="00607E1A" w:rsidRPr="000B6069" w14:paraId="01569349" w14:textId="77777777" w:rsidTr="00A7016F">
        <w:trPr>
          <w:trHeight w:hRule="exact" w:val="261"/>
        </w:trPr>
        <w:tc>
          <w:tcPr>
            <w:tcW w:w="1620" w:type="dxa"/>
            <w:tcBorders>
              <w:top w:val="single" w:sz="4" w:space="0" w:color="auto"/>
              <w:left w:val="nil"/>
              <w:bottom w:val="nil"/>
              <w:right w:val="nil"/>
            </w:tcBorders>
            <w:shd w:val="clear" w:color="auto" w:fill="auto"/>
            <w:vAlign w:val="bottom"/>
            <w:hideMark/>
          </w:tcPr>
          <w:p w14:paraId="2D8619FB" w14:textId="77777777" w:rsidR="00607E1A" w:rsidRPr="00A10E12" w:rsidRDefault="00607E1A" w:rsidP="0097553A">
            <w:pPr>
              <w:rPr>
                <w:rFonts w:ascii="Arial" w:hAnsi="Arial" w:cs="Arial"/>
                <w:color w:val="000000"/>
                <w:sz w:val="16"/>
                <w:szCs w:val="16"/>
                <w:lang w:val="en-US"/>
              </w:rPr>
            </w:pPr>
            <w:r w:rsidRPr="00A10E12">
              <w:rPr>
                <w:rFonts w:ascii="Arial" w:hAnsi="Arial" w:cs="Arial"/>
                <w:sz w:val="16"/>
                <w:szCs w:val="16"/>
                <w:lang w:val="en-US"/>
              </w:rPr>
              <w:t>Analysis</w:t>
            </w:r>
          </w:p>
        </w:tc>
        <w:tc>
          <w:tcPr>
            <w:tcW w:w="1080" w:type="dxa"/>
            <w:tcBorders>
              <w:top w:val="single" w:sz="4" w:space="0" w:color="auto"/>
              <w:left w:val="nil"/>
              <w:bottom w:val="nil"/>
              <w:right w:val="nil"/>
            </w:tcBorders>
            <w:shd w:val="clear" w:color="auto" w:fill="auto"/>
            <w:vAlign w:val="bottom"/>
            <w:hideMark/>
          </w:tcPr>
          <w:p w14:paraId="0C9F89B4"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080" w:type="dxa"/>
            <w:tcBorders>
              <w:top w:val="single" w:sz="4" w:space="0" w:color="auto"/>
              <w:left w:val="nil"/>
              <w:bottom w:val="nil"/>
              <w:right w:val="nil"/>
            </w:tcBorders>
            <w:shd w:val="clear" w:color="auto" w:fill="auto"/>
            <w:vAlign w:val="bottom"/>
            <w:hideMark/>
          </w:tcPr>
          <w:p w14:paraId="5F7277DC" w14:textId="2BFCA22D"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w:t>
            </w:r>
            <w:r w:rsidR="006F03B8" w:rsidRPr="00A10E12">
              <w:rPr>
                <w:rFonts w:ascii="Arial" w:hAnsi="Arial" w:cs="Arial"/>
                <w:sz w:val="16"/>
                <w:szCs w:val="16"/>
              </w:rPr>
              <w:t>4,101</w:t>
            </w:r>
            <w:r w:rsidRPr="00A10E12">
              <w:rPr>
                <w:rFonts w:ascii="Arial" w:hAnsi="Arial" w:cs="Arial"/>
                <w:sz w:val="16"/>
                <w:szCs w:val="16"/>
              </w:rPr>
              <w:t xml:space="preserve">   </w:t>
            </w:r>
          </w:p>
        </w:tc>
        <w:tc>
          <w:tcPr>
            <w:tcW w:w="990" w:type="dxa"/>
            <w:tcBorders>
              <w:top w:val="single" w:sz="4" w:space="0" w:color="auto"/>
              <w:left w:val="nil"/>
              <w:bottom w:val="nil"/>
              <w:right w:val="nil"/>
            </w:tcBorders>
            <w:shd w:val="clear" w:color="auto" w:fill="auto"/>
            <w:vAlign w:val="bottom"/>
            <w:hideMark/>
          </w:tcPr>
          <w:p w14:paraId="456D18F9"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134" w:type="dxa"/>
            <w:tcBorders>
              <w:top w:val="single" w:sz="4" w:space="0" w:color="auto"/>
              <w:left w:val="nil"/>
              <w:bottom w:val="nil"/>
              <w:right w:val="nil"/>
            </w:tcBorders>
            <w:shd w:val="clear" w:color="auto" w:fill="auto"/>
            <w:vAlign w:val="bottom"/>
            <w:hideMark/>
          </w:tcPr>
          <w:p w14:paraId="0563F16F"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936" w:type="dxa"/>
            <w:tcBorders>
              <w:top w:val="single" w:sz="4" w:space="0" w:color="auto"/>
              <w:left w:val="nil"/>
              <w:bottom w:val="nil"/>
              <w:right w:val="nil"/>
            </w:tcBorders>
            <w:vAlign w:val="bottom"/>
          </w:tcPr>
          <w:p w14:paraId="6631F528"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 xml:space="preserve"> - </w:t>
            </w:r>
          </w:p>
        </w:tc>
        <w:tc>
          <w:tcPr>
            <w:tcW w:w="1260" w:type="dxa"/>
            <w:tcBorders>
              <w:top w:val="single" w:sz="4" w:space="0" w:color="auto"/>
              <w:left w:val="nil"/>
              <w:bottom w:val="nil"/>
              <w:right w:val="nil"/>
            </w:tcBorders>
            <w:shd w:val="clear" w:color="auto" w:fill="auto"/>
            <w:vAlign w:val="bottom"/>
            <w:hideMark/>
          </w:tcPr>
          <w:p w14:paraId="2596E476" w14:textId="7EFE32FE" w:rsidR="00607E1A" w:rsidRPr="00A10E12" w:rsidRDefault="006F03B8" w:rsidP="0097553A">
            <w:pPr>
              <w:jc w:val="right"/>
              <w:rPr>
                <w:rFonts w:ascii="Arial" w:hAnsi="Arial" w:cs="Arial"/>
                <w:b/>
                <w:bCs/>
                <w:color w:val="000000"/>
                <w:sz w:val="16"/>
                <w:szCs w:val="16"/>
                <w:lang w:val="en-US"/>
              </w:rPr>
            </w:pPr>
            <w:r w:rsidRPr="00A10E12">
              <w:rPr>
                <w:rFonts w:ascii="Arial" w:hAnsi="Arial" w:cs="Arial"/>
                <w:b/>
                <w:bCs/>
                <w:sz w:val="16"/>
                <w:szCs w:val="16"/>
              </w:rPr>
              <w:t>4,101</w:t>
            </w:r>
            <w:r w:rsidR="00607E1A" w:rsidRPr="00A10E12">
              <w:rPr>
                <w:rFonts w:ascii="Arial" w:hAnsi="Arial" w:cs="Arial"/>
                <w:b/>
                <w:bCs/>
                <w:sz w:val="16"/>
                <w:szCs w:val="16"/>
              </w:rPr>
              <w:t xml:space="preserve"> </w:t>
            </w:r>
          </w:p>
        </w:tc>
        <w:tc>
          <w:tcPr>
            <w:tcW w:w="1260" w:type="dxa"/>
            <w:tcBorders>
              <w:top w:val="single" w:sz="4" w:space="0" w:color="auto"/>
              <w:left w:val="nil"/>
              <w:bottom w:val="nil"/>
              <w:right w:val="nil"/>
            </w:tcBorders>
            <w:shd w:val="clear" w:color="auto" w:fill="auto"/>
            <w:noWrap/>
            <w:vAlign w:val="bottom"/>
            <w:hideMark/>
          </w:tcPr>
          <w:p w14:paraId="28C7500C" w14:textId="7D30481E" w:rsidR="00607E1A" w:rsidRPr="00AB42F3" w:rsidRDefault="00AD3BCD" w:rsidP="0097553A">
            <w:pPr>
              <w:jc w:val="right"/>
              <w:rPr>
                <w:rFonts w:ascii="Arial" w:hAnsi="Arial" w:cs="Arial"/>
                <w:b/>
                <w:color w:val="000000"/>
                <w:sz w:val="16"/>
                <w:szCs w:val="16"/>
                <w:lang w:val="en-US"/>
              </w:rPr>
            </w:pPr>
            <w:r w:rsidRPr="00AB42F3">
              <w:rPr>
                <w:rFonts w:ascii="Arial" w:hAnsi="Arial" w:cs="Arial"/>
                <w:b/>
                <w:sz w:val="16"/>
                <w:szCs w:val="16"/>
              </w:rPr>
              <w:t>1,002,885</w:t>
            </w:r>
          </w:p>
        </w:tc>
      </w:tr>
      <w:tr w:rsidR="00607E1A" w:rsidRPr="000B6069" w14:paraId="668AC171" w14:textId="77777777" w:rsidTr="00A7016F">
        <w:trPr>
          <w:trHeight w:hRule="exact" w:val="261"/>
        </w:trPr>
        <w:tc>
          <w:tcPr>
            <w:tcW w:w="1620" w:type="dxa"/>
            <w:tcBorders>
              <w:top w:val="nil"/>
              <w:left w:val="nil"/>
              <w:bottom w:val="nil"/>
              <w:right w:val="nil"/>
            </w:tcBorders>
            <w:shd w:val="clear" w:color="auto" w:fill="auto"/>
            <w:vAlign w:val="bottom"/>
            <w:hideMark/>
          </w:tcPr>
          <w:p w14:paraId="715D1076"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Geological</w:t>
            </w:r>
          </w:p>
        </w:tc>
        <w:tc>
          <w:tcPr>
            <w:tcW w:w="1080" w:type="dxa"/>
            <w:tcBorders>
              <w:top w:val="nil"/>
              <w:left w:val="nil"/>
              <w:bottom w:val="nil"/>
              <w:right w:val="nil"/>
            </w:tcBorders>
            <w:shd w:val="clear" w:color="auto" w:fill="auto"/>
            <w:vAlign w:val="bottom"/>
            <w:hideMark/>
          </w:tcPr>
          <w:p w14:paraId="1A4D80DF"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36,027 </w:t>
            </w:r>
          </w:p>
        </w:tc>
        <w:tc>
          <w:tcPr>
            <w:tcW w:w="1080" w:type="dxa"/>
            <w:tcBorders>
              <w:top w:val="nil"/>
              <w:left w:val="nil"/>
              <w:bottom w:val="nil"/>
              <w:right w:val="nil"/>
            </w:tcBorders>
            <w:shd w:val="clear" w:color="auto" w:fill="auto"/>
            <w:vAlign w:val="bottom"/>
            <w:hideMark/>
          </w:tcPr>
          <w:p w14:paraId="2A55AFB9" w14:textId="00238A1C" w:rsidR="00607E1A" w:rsidRPr="00A10E12" w:rsidRDefault="006F03B8" w:rsidP="0097553A">
            <w:pPr>
              <w:jc w:val="right"/>
              <w:rPr>
                <w:rFonts w:ascii="Arial" w:hAnsi="Arial" w:cs="Arial"/>
                <w:sz w:val="16"/>
                <w:szCs w:val="16"/>
                <w:lang w:val="en-US"/>
              </w:rPr>
            </w:pPr>
            <w:r w:rsidRPr="00A10E12">
              <w:rPr>
                <w:rFonts w:ascii="Arial" w:hAnsi="Arial" w:cs="Arial"/>
                <w:sz w:val="16"/>
                <w:szCs w:val="16"/>
              </w:rPr>
              <w:t>115</w:t>
            </w:r>
            <w:r w:rsidR="00607E1A" w:rsidRPr="00A10E12">
              <w:rPr>
                <w:rFonts w:ascii="Arial" w:hAnsi="Arial" w:cs="Arial"/>
                <w:sz w:val="16"/>
                <w:szCs w:val="16"/>
              </w:rPr>
              <w:t>,</w:t>
            </w:r>
            <w:r w:rsidRPr="00A10E12">
              <w:rPr>
                <w:rFonts w:ascii="Arial" w:hAnsi="Arial" w:cs="Arial"/>
                <w:sz w:val="16"/>
                <w:szCs w:val="16"/>
              </w:rPr>
              <w:t>463</w:t>
            </w:r>
            <w:r w:rsidR="00607E1A" w:rsidRPr="00A10E12">
              <w:rPr>
                <w:rFonts w:ascii="Arial" w:hAnsi="Arial" w:cs="Arial"/>
                <w:sz w:val="16"/>
                <w:szCs w:val="16"/>
              </w:rPr>
              <w:t xml:space="preserve"> </w:t>
            </w:r>
          </w:p>
        </w:tc>
        <w:tc>
          <w:tcPr>
            <w:tcW w:w="990" w:type="dxa"/>
            <w:tcBorders>
              <w:top w:val="nil"/>
              <w:left w:val="nil"/>
              <w:bottom w:val="nil"/>
              <w:right w:val="nil"/>
            </w:tcBorders>
            <w:shd w:val="clear" w:color="auto" w:fill="auto"/>
            <w:vAlign w:val="bottom"/>
            <w:hideMark/>
          </w:tcPr>
          <w:p w14:paraId="34431557" w14:textId="0CCD6B2F" w:rsidR="00607E1A" w:rsidRPr="00A10E12" w:rsidRDefault="006F03B8" w:rsidP="0097553A">
            <w:pPr>
              <w:jc w:val="right"/>
              <w:rPr>
                <w:rFonts w:ascii="Arial" w:hAnsi="Arial" w:cs="Arial"/>
                <w:sz w:val="16"/>
                <w:szCs w:val="16"/>
                <w:lang w:val="en-US"/>
              </w:rPr>
            </w:pPr>
            <w:r w:rsidRPr="00A10E12">
              <w:rPr>
                <w:rFonts w:ascii="Arial" w:hAnsi="Arial" w:cs="Arial"/>
                <w:sz w:val="16"/>
                <w:szCs w:val="16"/>
              </w:rPr>
              <w:t>66</w:t>
            </w:r>
            <w:r w:rsidR="00607E1A" w:rsidRPr="00A10E12">
              <w:rPr>
                <w:rFonts w:ascii="Arial" w:hAnsi="Arial" w:cs="Arial"/>
                <w:sz w:val="16"/>
                <w:szCs w:val="16"/>
              </w:rPr>
              <w:t>,</w:t>
            </w:r>
            <w:r w:rsidRPr="00A10E12">
              <w:rPr>
                <w:rFonts w:ascii="Arial" w:hAnsi="Arial" w:cs="Arial"/>
                <w:sz w:val="16"/>
                <w:szCs w:val="16"/>
              </w:rPr>
              <w:t>148</w:t>
            </w:r>
            <w:r w:rsidR="00607E1A" w:rsidRPr="00A10E12">
              <w:rPr>
                <w:rFonts w:ascii="Arial" w:hAnsi="Arial" w:cs="Arial"/>
                <w:sz w:val="16"/>
                <w:szCs w:val="16"/>
              </w:rPr>
              <w:t xml:space="preserve"> </w:t>
            </w:r>
          </w:p>
        </w:tc>
        <w:tc>
          <w:tcPr>
            <w:tcW w:w="1134" w:type="dxa"/>
            <w:tcBorders>
              <w:top w:val="nil"/>
              <w:left w:val="nil"/>
              <w:bottom w:val="nil"/>
              <w:right w:val="nil"/>
            </w:tcBorders>
            <w:shd w:val="clear" w:color="auto" w:fill="auto"/>
            <w:vAlign w:val="bottom"/>
            <w:hideMark/>
          </w:tcPr>
          <w:p w14:paraId="0C9668E0"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1,131 </w:t>
            </w:r>
          </w:p>
        </w:tc>
        <w:tc>
          <w:tcPr>
            <w:tcW w:w="936" w:type="dxa"/>
            <w:tcBorders>
              <w:top w:val="nil"/>
              <w:left w:val="nil"/>
              <w:bottom w:val="nil"/>
              <w:right w:val="nil"/>
            </w:tcBorders>
            <w:vAlign w:val="bottom"/>
          </w:tcPr>
          <w:p w14:paraId="01420AAF"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 xml:space="preserve"> 2,125 </w:t>
            </w:r>
          </w:p>
        </w:tc>
        <w:tc>
          <w:tcPr>
            <w:tcW w:w="1260" w:type="dxa"/>
            <w:tcBorders>
              <w:top w:val="nil"/>
              <w:left w:val="nil"/>
              <w:bottom w:val="nil"/>
              <w:right w:val="nil"/>
            </w:tcBorders>
            <w:shd w:val="clear" w:color="auto" w:fill="auto"/>
            <w:vAlign w:val="bottom"/>
            <w:hideMark/>
          </w:tcPr>
          <w:p w14:paraId="5DA07C9E" w14:textId="18628284" w:rsidR="00607E1A" w:rsidRPr="00A10E12" w:rsidRDefault="00607E1A" w:rsidP="0097553A">
            <w:pPr>
              <w:jc w:val="right"/>
              <w:rPr>
                <w:rFonts w:ascii="Arial" w:hAnsi="Arial" w:cs="Arial"/>
                <w:b/>
                <w:bCs/>
                <w:color w:val="000000"/>
                <w:sz w:val="16"/>
                <w:szCs w:val="16"/>
                <w:lang w:val="en-US"/>
              </w:rPr>
            </w:pPr>
            <w:r w:rsidRPr="00A10E12">
              <w:rPr>
                <w:rFonts w:ascii="Arial" w:hAnsi="Arial" w:cs="Arial"/>
                <w:b/>
                <w:bCs/>
                <w:sz w:val="16"/>
                <w:szCs w:val="16"/>
              </w:rPr>
              <w:t xml:space="preserve"> </w:t>
            </w:r>
            <w:r w:rsidR="006F03B8" w:rsidRPr="00A10E12">
              <w:rPr>
                <w:rFonts w:ascii="Arial" w:hAnsi="Arial" w:cs="Arial"/>
                <w:b/>
                <w:bCs/>
                <w:sz w:val="16"/>
                <w:szCs w:val="16"/>
              </w:rPr>
              <w:t>220</w:t>
            </w:r>
            <w:r w:rsidRPr="00A10E12">
              <w:rPr>
                <w:rFonts w:ascii="Arial" w:hAnsi="Arial" w:cs="Arial"/>
                <w:b/>
                <w:bCs/>
                <w:sz w:val="16"/>
                <w:szCs w:val="16"/>
              </w:rPr>
              <w:t>,</w:t>
            </w:r>
            <w:r w:rsidR="006F03B8" w:rsidRPr="00A10E12">
              <w:rPr>
                <w:rFonts w:ascii="Arial" w:hAnsi="Arial" w:cs="Arial"/>
                <w:b/>
                <w:bCs/>
                <w:sz w:val="16"/>
                <w:szCs w:val="16"/>
              </w:rPr>
              <w:t>894</w:t>
            </w:r>
            <w:r w:rsidRPr="00A10E12">
              <w:rPr>
                <w:rFonts w:ascii="Arial" w:hAnsi="Arial" w:cs="Arial"/>
                <w:b/>
                <w:bCs/>
                <w:sz w:val="16"/>
                <w:szCs w:val="16"/>
              </w:rPr>
              <w:t xml:space="preserve"> </w:t>
            </w:r>
          </w:p>
        </w:tc>
        <w:tc>
          <w:tcPr>
            <w:tcW w:w="1260" w:type="dxa"/>
            <w:tcBorders>
              <w:top w:val="nil"/>
              <w:left w:val="nil"/>
              <w:bottom w:val="nil"/>
              <w:right w:val="nil"/>
            </w:tcBorders>
            <w:shd w:val="clear" w:color="auto" w:fill="auto"/>
            <w:noWrap/>
            <w:vAlign w:val="bottom"/>
            <w:hideMark/>
          </w:tcPr>
          <w:p w14:paraId="70D99735" w14:textId="56FB3240" w:rsidR="00607E1A" w:rsidRPr="00AB42F3" w:rsidRDefault="00607E1A" w:rsidP="0097553A">
            <w:pPr>
              <w:jc w:val="right"/>
              <w:rPr>
                <w:rFonts w:ascii="Arial" w:hAnsi="Arial" w:cs="Arial"/>
                <w:b/>
                <w:color w:val="000000"/>
                <w:sz w:val="16"/>
                <w:szCs w:val="16"/>
                <w:lang w:val="en-US"/>
              </w:rPr>
            </w:pPr>
            <w:r w:rsidRPr="00AB42F3">
              <w:rPr>
                <w:rFonts w:ascii="Arial" w:hAnsi="Arial" w:cs="Arial"/>
                <w:b/>
                <w:sz w:val="16"/>
                <w:szCs w:val="16"/>
              </w:rPr>
              <w:t xml:space="preserve"> </w:t>
            </w:r>
            <w:r w:rsidR="00AD3BCD" w:rsidRPr="00AB42F3">
              <w:rPr>
                <w:rFonts w:ascii="Arial" w:hAnsi="Arial" w:cs="Arial"/>
                <w:b/>
                <w:sz w:val="16"/>
                <w:szCs w:val="16"/>
              </w:rPr>
              <w:t>4,021</w:t>
            </w:r>
            <w:r w:rsidRPr="00AB42F3">
              <w:rPr>
                <w:rFonts w:ascii="Arial" w:hAnsi="Arial" w:cs="Arial"/>
                <w:b/>
                <w:sz w:val="16"/>
                <w:szCs w:val="16"/>
              </w:rPr>
              <w:t>,</w:t>
            </w:r>
            <w:r w:rsidR="00AD3BCD" w:rsidRPr="00AB42F3">
              <w:rPr>
                <w:rFonts w:ascii="Arial" w:hAnsi="Arial" w:cs="Arial"/>
                <w:b/>
                <w:sz w:val="16"/>
                <w:szCs w:val="16"/>
              </w:rPr>
              <w:t>331</w:t>
            </w:r>
            <w:r w:rsidRPr="00AB42F3">
              <w:rPr>
                <w:rFonts w:ascii="Arial" w:hAnsi="Arial" w:cs="Arial"/>
                <w:b/>
                <w:sz w:val="16"/>
                <w:szCs w:val="16"/>
              </w:rPr>
              <w:t xml:space="preserve"> </w:t>
            </w:r>
          </w:p>
        </w:tc>
      </w:tr>
      <w:tr w:rsidR="00607E1A" w:rsidRPr="000B6069" w14:paraId="3603B83B" w14:textId="77777777" w:rsidTr="00A7016F">
        <w:trPr>
          <w:trHeight w:hRule="exact" w:val="261"/>
        </w:trPr>
        <w:tc>
          <w:tcPr>
            <w:tcW w:w="1620" w:type="dxa"/>
            <w:tcBorders>
              <w:top w:val="nil"/>
              <w:left w:val="nil"/>
              <w:bottom w:val="nil"/>
              <w:right w:val="nil"/>
            </w:tcBorders>
            <w:shd w:val="clear" w:color="auto" w:fill="auto"/>
            <w:vAlign w:val="bottom"/>
            <w:hideMark/>
          </w:tcPr>
          <w:p w14:paraId="742BE92F"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Geophysical</w:t>
            </w:r>
          </w:p>
        </w:tc>
        <w:tc>
          <w:tcPr>
            <w:tcW w:w="1080" w:type="dxa"/>
            <w:tcBorders>
              <w:top w:val="nil"/>
              <w:left w:val="nil"/>
              <w:bottom w:val="nil"/>
              <w:right w:val="nil"/>
            </w:tcBorders>
            <w:shd w:val="clear" w:color="auto" w:fill="auto"/>
            <w:vAlign w:val="bottom"/>
            <w:hideMark/>
          </w:tcPr>
          <w:p w14:paraId="539DA7CF"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9,631 </w:t>
            </w:r>
          </w:p>
        </w:tc>
        <w:tc>
          <w:tcPr>
            <w:tcW w:w="1080" w:type="dxa"/>
            <w:tcBorders>
              <w:top w:val="nil"/>
              <w:left w:val="nil"/>
              <w:bottom w:val="nil"/>
              <w:right w:val="nil"/>
            </w:tcBorders>
            <w:shd w:val="clear" w:color="auto" w:fill="auto"/>
            <w:vAlign w:val="bottom"/>
            <w:hideMark/>
          </w:tcPr>
          <w:p w14:paraId="623B943A" w14:textId="783F3B46" w:rsidR="00607E1A" w:rsidRPr="00A10E12" w:rsidRDefault="006F03B8" w:rsidP="0097553A">
            <w:pPr>
              <w:jc w:val="right"/>
              <w:rPr>
                <w:rFonts w:ascii="Arial" w:hAnsi="Arial" w:cs="Arial"/>
                <w:sz w:val="16"/>
                <w:szCs w:val="16"/>
                <w:lang w:val="en-US"/>
              </w:rPr>
            </w:pPr>
            <w:r w:rsidRPr="00A10E12">
              <w:rPr>
                <w:rFonts w:ascii="Arial" w:hAnsi="Arial" w:cs="Arial"/>
                <w:sz w:val="16"/>
                <w:szCs w:val="16"/>
                <w:lang w:val="en-US"/>
              </w:rPr>
              <w:t>28,968</w:t>
            </w:r>
          </w:p>
        </w:tc>
        <w:tc>
          <w:tcPr>
            <w:tcW w:w="990" w:type="dxa"/>
            <w:tcBorders>
              <w:top w:val="nil"/>
              <w:left w:val="nil"/>
              <w:bottom w:val="nil"/>
              <w:right w:val="nil"/>
            </w:tcBorders>
            <w:shd w:val="clear" w:color="auto" w:fill="auto"/>
            <w:vAlign w:val="bottom"/>
            <w:hideMark/>
          </w:tcPr>
          <w:p w14:paraId="22B261B8"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lang w:val="en-US"/>
              </w:rPr>
              <w:t>-</w:t>
            </w:r>
          </w:p>
        </w:tc>
        <w:tc>
          <w:tcPr>
            <w:tcW w:w="1134" w:type="dxa"/>
            <w:tcBorders>
              <w:top w:val="nil"/>
              <w:left w:val="nil"/>
              <w:bottom w:val="nil"/>
              <w:right w:val="nil"/>
            </w:tcBorders>
            <w:shd w:val="clear" w:color="auto" w:fill="auto"/>
            <w:vAlign w:val="bottom"/>
            <w:hideMark/>
          </w:tcPr>
          <w:p w14:paraId="305B91DB"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936" w:type="dxa"/>
            <w:tcBorders>
              <w:top w:val="nil"/>
              <w:left w:val="nil"/>
              <w:bottom w:val="nil"/>
              <w:right w:val="nil"/>
            </w:tcBorders>
            <w:vAlign w:val="bottom"/>
          </w:tcPr>
          <w:p w14:paraId="43F7595F"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 xml:space="preserve"> - </w:t>
            </w:r>
          </w:p>
        </w:tc>
        <w:tc>
          <w:tcPr>
            <w:tcW w:w="1260" w:type="dxa"/>
            <w:tcBorders>
              <w:top w:val="nil"/>
              <w:left w:val="nil"/>
              <w:bottom w:val="nil"/>
              <w:right w:val="nil"/>
            </w:tcBorders>
            <w:shd w:val="clear" w:color="auto" w:fill="auto"/>
            <w:vAlign w:val="bottom"/>
            <w:hideMark/>
          </w:tcPr>
          <w:p w14:paraId="032C710D" w14:textId="684144C9" w:rsidR="00607E1A" w:rsidRPr="00A10E12" w:rsidRDefault="00607E1A" w:rsidP="0097553A">
            <w:pPr>
              <w:jc w:val="right"/>
              <w:rPr>
                <w:rFonts w:ascii="Arial" w:hAnsi="Arial" w:cs="Arial"/>
                <w:b/>
                <w:bCs/>
                <w:color w:val="000000"/>
                <w:sz w:val="16"/>
                <w:szCs w:val="16"/>
                <w:lang w:val="en-US"/>
              </w:rPr>
            </w:pPr>
            <w:r w:rsidRPr="00A10E12">
              <w:rPr>
                <w:rFonts w:ascii="Arial" w:hAnsi="Arial" w:cs="Arial"/>
                <w:b/>
                <w:bCs/>
                <w:sz w:val="16"/>
                <w:szCs w:val="16"/>
              </w:rPr>
              <w:t xml:space="preserve"> </w:t>
            </w:r>
            <w:r w:rsidR="006F03B8" w:rsidRPr="00A10E12">
              <w:rPr>
                <w:rFonts w:ascii="Arial" w:hAnsi="Arial" w:cs="Arial"/>
                <w:b/>
                <w:bCs/>
                <w:sz w:val="16"/>
                <w:szCs w:val="16"/>
              </w:rPr>
              <w:t>38,599</w:t>
            </w:r>
            <w:r w:rsidRPr="00A10E12">
              <w:rPr>
                <w:rFonts w:ascii="Arial" w:hAnsi="Arial" w:cs="Arial"/>
                <w:b/>
                <w:bCs/>
                <w:sz w:val="16"/>
                <w:szCs w:val="16"/>
              </w:rPr>
              <w:t xml:space="preserve"> </w:t>
            </w:r>
          </w:p>
        </w:tc>
        <w:tc>
          <w:tcPr>
            <w:tcW w:w="1260" w:type="dxa"/>
            <w:tcBorders>
              <w:top w:val="nil"/>
              <w:left w:val="nil"/>
              <w:bottom w:val="nil"/>
              <w:right w:val="nil"/>
            </w:tcBorders>
            <w:shd w:val="clear" w:color="auto" w:fill="auto"/>
            <w:noWrap/>
            <w:vAlign w:val="bottom"/>
            <w:hideMark/>
          </w:tcPr>
          <w:p w14:paraId="5AF9A389" w14:textId="6EB3830E" w:rsidR="00607E1A" w:rsidRPr="00AB42F3" w:rsidRDefault="00607E1A" w:rsidP="0097553A">
            <w:pPr>
              <w:jc w:val="right"/>
              <w:rPr>
                <w:rFonts w:ascii="Arial" w:hAnsi="Arial" w:cs="Arial"/>
                <w:b/>
                <w:color w:val="000000"/>
                <w:sz w:val="16"/>
                <w:szCs w:val="16"/>
                <w:lang w:val="en-US"/>
              </w:rPr>
            </w:pPr>
            <w:r w:rsidRPr="00AB42F3">
              <w:rPr>
                <w:rFonts w:ascii="Arial" w:hAnsi="Arial" w:cs="Arial"/>
                <w:b/>
                <w:sz w:val="16"/>
                <w:szCs w:val="16"/>
              </w:rPr>
              <w:t xml:space="preserve"> </w:t>
            </w:r>
            <w:r w:rsidR="00AD3BCD" w:rsidRPr="00AB42F3">
              <w:rPr>
                <w:rFonts w:ascii="Arial" w:hAnsi="Arial" w:cs="Arial"/>
                <w:b/>
                <w:sz w:val="16"/>
                <w:szCs w:val="16"/>
              </w:rPr>
              <w:t>3,276,490</w:t>
            </w:r>
            <w:r w:rsidRPr="00AB42F3">
              <w:rPr>
                <w:rFonts w:ascii="Arial" w:hAnsi="Arial" w:cs="Arial"/>
                <w:b/>
                <w:sz w:val="16"/>
                <w:szCs w:val="16"/>
              </w:rPr>
              <w:t xml:space="preserve"> </w:t>
            </w:r>
          </w:p>
        </w:tc>
      </w:tr>
      <w:tr w:rsidR="00607E1A" w:rsidRPr="000B6069" w14:paraId="43EB1D68" w14:textId="77777777" w:rsidTr="00A7016F">
        <w:trPr>
          <w:trHeight w:hRule="exact" w:val="261"/>
        </w:trPr>
        <w:tc>
          <w:tcPr>
            <w:tcW w:w="1620" w:type="dxa"/>
            <w:tcBorders>
              <w:top w:val="nil"/>
              <w:left w:val="nil"/>
              <w:bottom w:val="nil"/>
              <w:right w:val="nil"/>
            </w:tcBorders>
            <w:shd w:val="clear" w:color="auto" w:fill="auto"/>
            <w:vAlign w:val="bottom"/>
            <w:hideMark/>
          </w:tcPr>
          <w:p w14:paraId="47BF8AC5"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Geochemical</w:t>
            </w:r>
          </w:p>
        </w:tc>
        <w:tc>
          <w:tcPr>
            <w:tcW w:w="1080" w:type="dxa"/>
            <w:tcBorders>
              <w:top w:val="nil"/>
              <w:left w:val="nil"/>
              <w:bottom w:val="nil"/>
              <w:right w:val="nil"/>
            </w:tcBorders>
            <w:shd w:val="clear" w:color="auto" w:fill="auto"/>
            <w:vAlign w:val="bottom"/>
            <w:hideMark/>
          </w:tcPr>
          <w:p w14:paraId="1A3B9185"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080" w:type="dxa"/>
            <w:tcBorders>
              <w:top w:val="nil"/>
              <w:left w:val="nil"/>
              <w:bottom w:val="nil"/>
              <w:right w:val="nil"/>
            </w:tcBorders>
            <w:shd w:val="clear" w:color="auto" w:fill="auto"/>
            <w:vAlign w:val="bottom"/>
            <w:hideMark/>
          </w:tcPr>
          <w:p w14:paraId="7A4A48A5" w14:textId="5B4A926E" w:rsidR="00607E1A" w:rsidRPr="00A10E12" w:rsidRDefault="006F03B8" w:rsidP="0097553A">
            <w:pPr>
              <w:jc w:val="right"/>
              <w:rPr>
                <w:rFonts w:ascii="Arial" w:hAnsi="Arial" w:cs="Arial"/>
                <w:sz w:val="16"/>
                <w:szCs w:val="16"/>
                <w:lang w:val="en-US"/>
              </w:rPr>
            </w:pPr>
            <w:r w:rsidRPr="00A10E12">
              <w:rPr>
                <w:rFonts w:ascii="Arial" w:hAnsi="Arial" w:cs="Arial"/>
                <w:sz w:val="16"/>
                <w:szCs w:val="16"/>
              </w:rPr>
              <w:t>21,154</w:t>
            </w:r>
            <w:r w:rsidR="00607E1A" w:rsidRPr="00A10E12">
              <w:rPr>
                <w:rFonts w:ascii="Arial" w:hAnsi="Arial" w:cs="Arial"/>
                <w:sz w:val="16"/>
                <w:szCs w:val="16"/>
              </w:rPr>
              <w:t xml:space="preserve"> </w:t>
            </w:r>
          </w:p>
        </w:tc>
        <w:tc>
          <w:tcPr>
            <w:tcW w:w="990" w:type="dxa"/>
            <w:tcBorders>
              <w:top w:val="nil"/>
              <w:left w:val="nil"/>
              <w:bottom w:val="nil"/>
              <w:right w:val="nil"/>
            </w:tcBorders>
            <w:shd w:val="clear" w:color="auto" w:fill="auto"/>
            <w:vAlign w:val="bottom"/>
            <w:hideMark/>
          </w:tcPr>
          <w:p w14:paraId="0ED1DE07"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134" w:type="dxa"/>
            <w:tcBorders>
              <w:top w:val="nil"/>
              <w:left w:val="nil"/>
              <w:bottom w:val="nil"/>
              <w:right w:val="nil"/>
            </w:tcBorders>
            <w:shd w:val="clear" w:color="auto" w:fill="auto"/>
            <w:vAlign w:val="bottom"/>
            <w:hideMark/>
          </w:tcPr>
          <w:p w14:paraId="243F5E3A"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936" w:type="dxa"/>
            <w:tcBorders>
              <w:top w:val="nil"/>
              <w:left w:val="nil"/>
              <w:bottom w:val="nil"/>
              <w:right w:val="nil"/>
            </w:tcBorders>
            <w:vAlign w:val="bottom"/>
          </w:tcPr>
          <w:p w14:paraId="2E0EACF1"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 xml:space="preserve"> - </w:t>
            </w:r>
          </w:p>
        </w:tc>
        <w:tc>
          <w:tcPr>
            <w:tcW w:w="1260" w:type="dxa"/>
            <w:tcBorders>
              <w:top w:val="nil"/>
              <w:left w:val="nil"/>
              <w:bottom w:val="nil"/>
              <w:right w:val="nil"/>
            </w:tcBorders>
            <w:shd w:val="clear" w:color="auto" w:fill="auto"/>
            <w:vAlign w:val="bottom"/>
            <w:hideMark/>
          </w:tcPr>
          <w:p w14:paraId="040D532D" w14:textId="3DB96CEA" w:rsidR="00607E1A" w:rsidRPr="00A10E12" w:rsidRDefault="00607E1A" w:rsidP="0097553A">
            <w:pPr>
              <w:jc w:val="right"/>
              <w:rPr>
                <w:rFonts w:ascii="Arial" w:hAnsi="Arial" w:cs="Arial"/>
                <w:b/>
                <w:bCs/>
                <w:color w:val="000000"/>
                <w:sz w:val="16"/>
                <w:szCs w:val="16"/>
                <w:lang w:val="en-US"/>
              </w:rPr>
            </w:pPr>
            <w:r w:rsidRPr="00A10E12">
              <w:rPr>
                <w:rFonts w:ascii="Arial" w:hAnsi="Arial" w:cs="Arial"/>
                <w:b/>
                <w:bCs/>
                <w:sz w:val="16"/>
                <w:szCs w:val="16"/>
              </w:rPr>
              <w:t xml:space="preserve"> </w:t>
            </w:r>
            <w:r w:rsidR="006F03B8" w:rsidRPr="00A10E12">
              <w:rPr>
                <w:rFonts w:ascii="Arial" w:hAnsi="Arial" w:cs="Arial"/>
                <w:b/>
                <w:bCs/>
                <w:sz w:val="16"/>
                <w:szCs w:val="16"/>
              </w:rPr>
              <w:t>21,154</w:t>
            </w:r>
            <w:r w:rsidRPr="00A10E12">
              <w:rPr>
                <w:rFonts w:ascii="Arial" w:hAnsi="Arial" w:cs="Arial"/>
                <w:b/>
                <w:bCs/>
                <w:sz w:val="16"/>
                <w:szCs w:val="16"/>
              </w:rPr>
              <w:t xml:space="preserve"> </w:t>
            </w:r>
          </w:p>
        </w:tc>
        <w:tc>
          <w:tcPr>
            <w:tcW w:w="1260" w:type="dxa"/>
            <w:tcBorders>
              <w:top w:val="nil"/>
              <w:left w:val="nil"/>
              <w:bottom w:val="nil"/>
              <w:right w:val="nil"/>
            </w:tcBorders>
            <w:shd w:val="clear" w:color="auto" w:fill="auto"/>
            <w:noWrap/>
            <w:vAlign w:val="bottom"/>
            <w:hideMark/>
          </w:tcPr>
          <w:p w14:paraId="0E3C8C9D" w14:textId="2AFB8441" w:rsidR="00607E1A" w:rsidRPr="00AB42F3" w:rsidRDefault="00607E1A" w:rsidP="0097553A">
            <w:pPr>
              <w:jc w:val="right"/>
              <w:rPr>
                <w:rFonts w:ascii="Arial" w:hAnsi="Arial" w:cs="Arial"/>
                <w:b/>
                <w:color w:val="000000"/>
                <w:sz w:val="16"/>
                <w:szCs w:val="16"/>
                <w:lang w:val="en-US"/>
              </w:rPr>
            </w:pPr>
            <w:r w:rsidRPr="00AB42F3">
              <w:rPr>
                <w:rFonts w:ascii="Arial" w:hAnsi="Arial" w:cs="Arial"/>
                <w:b/>
                <w:sz w:val="16"/>
                <w:szCs w:val="16"/>
              </w:rPr>
              <w:t xml:space="preserve"> 4</w:t>
            </w:r>
            <w:r w:rsidR="00AD3BCD" w:rsidRPr="00AB42F3">
              <w:rPr>
                <w:rFonts w:ascii="Arial" w:hAnsi="Arial" w:cs="Arial"/>
                <w:b/>
                <w:sz w:val="16"/>
                <w:szCs w:val="16"/>
              </w:rPr>
              <w:t>75</w:t>
            </w:r>
            <w:r w:rsidRPr="00AB42F3">
              <w:rPr>
                <w:rFonts w:ascii="Arial" w:hAnsi="Arial" w:cs="Arial"/>
                <w:b/>
                <w:sz w:val="16"/>
                <w:szCs w:val="16"/>
              </w:rPr>
              <w:t>,</w:t>
            </w:r>
            <w:r w:rsidR="00AD3BCD" w:rsidRPr="00AB42F3">
              <w:rPr>
                <w:rFonts w:ascii="Arial" w:hAnsi="Arial" w:cs="Arial"/>
                <w:b/>
                <w:sz w:val="16"/>
                <w:szCs w:val="16"/>
              </w:rPr>
              <w:t>159</w:t>
            </w:r>
            <w:r w:rsidRPr="00AB42F3">
              <w:rPr>
                <w:rFonts w:ascii="Arial" w:hAnsi="Arial" w:cs="Arial"/>
                <w:b/>
                <w:sz w:val="16"/>
                <w:szCs w:val="16"/>
              </w:rPr>
              <w:t xml:space="preserve"> </w:t>
            </w:r>
          </w:p>
        </w:tc>
      </w:tr>
      <w:tr w:rsidR="00607E1A" w:rsidRPr="000B6069" w14:paraId="436B0045" w14:textId="77777777" w:rsidTr="00A7016F">
        <w:trPr>
          <w:trHeight w:hRule="exact" w:val="261"/>
        </w:trPr>
        <w:tc>
          <w:tcPr>
            <w:tcW w:w="1620" w:type="dxa"/>
            <w:tcBorders>
              <w:top w:val="nil"/>
              <w:left w:val="nil"/>
              <w:bottom w:val="nil"/>
              <w:right w:val="nil"/>
            </w:tcBorders>
            <w:shd w:val="clear" w:color="auto" w:fill="auto"/>
            <w:vAlign w:val="bottom"/>
            <w:hideMark/>
          </w:tcPr>
          <w:p w14:paraId="2DD3E55D"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Travel</w:t>
            </w:r>
          </w:p>
        </w:tc>
        <w:tc>
          <w:tcPr>
            <w:tcW w:w="1080" w:type="dxa"/>
            <w:tcBorders>
              <w:top w:val="nil"/>
              <w:left w:val="nil"/>
              <w:bottom w:val="nil"/>
              <w:right w:val="nil"/>
            </w:tcBorders>
            <w:shd w:val="clear" w:color="auto" w:fill="auto"/>
            <w:vAlign w:val="bottom"/>
            <w:hideMark/>
          </w:tcPr>
          <w:p w14:paraId="3512FEAC"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5,205 </w:t>
            </w:r>
          </w:p>
        </w:tc>
        <w:tc>
          <w:tcPr>
            <w:tcW w:w="1080" w:type="dxa"/>
            <w:tcBorders>
              <w:top w:val="nil"/>
              <w:left w:val="nil"/>
              <w:bottom w:val="nil"/>
              <w:right w:val="nil"/>
            </w:tcBorders>
            <w:shd w:val="clear" w:color="auto" w:fill="auto"/>
            <w:vAlign w:val="bottom"/>
            <w:hideMark/>
          </w:tcPr>
          <w:p w14:paraId="34C0D6D0"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1,413 </w:t>
            </w:r>
          </w:p>
        </w:tc>
        <w:tc>
          <w:tcPr>
            <w:tcW w:w="990" w:type="dxa"/>
            <w:tcBorders>
              <w:top w:val="nil"/>
              <w:left w:val="nil"/>
              <w:bottom w:val="nil"/>
              <w:right w:val="nil"/>
            </w:tcBorders>
            <w:shd w:val="clear" w:color="auto" w:fill="auto"/>
            <w:vAlign w:val="bottom"/>
            <w:hideMark/>
          </w:tcPr>
          <w:p w14:paraId="64FDCA98" w14:textId="41E9E410"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w:t>
            </w:r>
            <w:r w:rsidR="006F03B8" w:rsidRPr="00A10E12">
              <w:rPr>
                <w:rFonts w:ascii="Arial" w:hAnsi="Arial" w:cs="Arial"/>
                <w:sz w:val="16"/>
                <w:szCs w:val="16"/>
              </w:rPr>
              <w:t>71</w:t>
            </w:r>
            <w:r w:rsidRPr="00A10E12">
              <w:rPr>
                <w:rFonts w:ascii="Arial" w:hAnsi="Arial" w:cs="Arial"/>
                <w:sz w:val="16"/>
                <w:szCs w:val="16"/>
              </w:rPr>
              <w:t>,</w:t>
            </w:r>
            <w:r w:rsidR="006F03B8" w:rsidRPr="00A10E12">
              <w:rPr>
                <w:rFonts w:ascii="Arial" w:hAnsi="Arial" w:cs="Arial"/>
                <w:sz w:val="16"/>
                <w:szCs w:val="16"/>
              </w:rPr>
              <w:t>824</w:t>
            </w:r>
            <w:r w:rsidRPr="00A10E12">
              <w:rPr>
                <w:rFonts w:ascii="Arial" w:hAnsi="Arial" w:cs="Arial"/>
                <w:sz w:val="16"/>
                <w:szCs w:val="16"/>
              </w:rPr>
              <w:t xml:space="preserve"> </w:t>
            </w:r>
          </w:p>
        </w:tc>
        <w:tc>
          <w:tcPr>
            <w:tcW w:w="1134" w:type="dxa"/>
            <w:tcBorders>
              <w:top w:val="nil"/>
              <w:left w:val="nil"/>
              <w:bottom w:val="nil"/>
              <w:right w:val="nil"/>
            </w:tcBorders>
            <w:shd w:val="clear" w:color="auto" w:fill="auto"/>
            <w:vAlign w:val="bottom"/>
            <w:hideMark/>
          </w:tcPr>
          <w:p w14:paraId="77520BAC"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348 </w:t>
            </w:r>
          </w:p>
        </w:tc>
        <w:tc>
          <w:tcPr>
            <w:tcW w:w="936" w:type="dxa"/>
            <w:tcBorders>
              <w:top w:val="nil"/>
              <w:left w:val="nil"/>
              <w:bottom w:val="nil"/>
              <w:right w:val="nil"/>
            </w:tcBorders>
            <w:vAlign w:val="bottom"/>
          </w:tcPr>
          <w:p w14:paraId="2196B940"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 xml:space="preserve"> - </w:t>
            </w:r>
          </w:p>
        </w:tc>
        <w:tc>
          <w:tcPr>
            <w:tcW w:w="1260" w:type="dxa"/>
            <w:tcBorders>
              <w:top w:val="nil"/>
              <w:left w:val="nil"/>
              <w:bottom w:val="nil"/>
              <w:right w:val="nil"/>
            </w:tcBorders>
            <w:shd w:val="clear" w:color="auto" w:fill="auto"/>
            <w:vAlign w:val="bottom"/>
            <w:hideMark/>
          </w:tcPr>
          <w:p w14:paraId="2E4D9827" w14:textId="20F50213" w:rsidR="00607E1A" w:rsidRPr="00A10E12" w:rsidRDefault="00607E1A" w:rsidP="0097553A">
            <w:pPr>
              <w:jc w:val="right"/>
              <w:rPr>
                <w:rFonts w:ascii="Arial" w:hAnsi="Arial" w:cs="Arial"/>
                <w:b/>
                <w:bCs/>
                <w:color w:val="000000"/>
                <w:sz w:val="16"/>
                <w:szCs w:val="16"/>
                <w:lang w:val="en-US"/>
              </w:rPr>
            </w:pPr>
            <w:r w:rsidRPr="00A10E12">
              <w:rPr>
                <w:rFonts w:ascii="Arial" w:hAnsi="Arial" w:cs="Arial"/>
                <w:b/>
                <w:bCs/>
                <w:sz w:val="16"/>
                <w:szCs w:val="16"/>
              </w:rPr>
              <w:t xml:space="preserve"> </w:t>
            </w:r>
            <w:r w:rsidR="006F03B8" w:rsidRPr="00A10E12">
              <w:rPr>
                <w:rFonts w:ascii="Arial" w:hAnsi="Arial" w:cs="Arial"/>
                <w:b/>
                <w:bCs/>
                <w:sz w:val="16"/>
                <w:szCs w:val="16"/>
              </w:rPr>
              <w:t>78</w:t>
            </w:r>
            <w:r w:rsidRPr="00A10E12">
              <w:rPr>
                <w:rFonts w:ascii="Arial" w:hAnsi="Arial" w:cs="Arial"/>
                <w:b/>
                <w:bCs/>
                <w:sz w:val="16"/>
                <w:szCs w:val="16"/>
              </w:rPr>
              <w:t>,</w:t>
            </w:r>
            <w:r w:rsidR="006F03B8" w:rsidRPr="00A10E12">
              <w:rPr>
                <w:rFonts w:ascii="Arial" w:hAnsi="Arial" w:cs="Arial"/>
                <w:b/>
                <w:bCs/>
                <w:sz w:val="16"/>
                <w:szCs w:val="16"/>
              </w:rPr>
              <w:t>790</w:t>
            </w:r>
            <w:r w:rsidRPr="00A10E12">
              <w:rPr>
                <w:rFonts w:ascii="Arial" w:hAnsi="Arial" w:cs="Arial"/>
                <w:b/>
                <w:bCs/>
                <w:sz w:val="16"/>
                <w:szCs w:val="16"/>
              </w:rPr>
              <w:t xml:space="preserve"> </w:t>
            </w:r>
          </w:p>
        </w:tc>
        <w:tc>
          <w:tcPr>
            <w:tcW w:w="1260" w:type="dxa"/>
            <w:tcBorders>
              <w:top w:val="nil"/>
              <w:left w:val="nil"/>
              <w:bottom w:val="nil"/>
              <w:right w:val="nil"/>
            </w:tcBorders>
            <w:shd w:val="clear" w:color="auto" w:fill="auto"/>
            <w:noWrap/>
            <w:vAlign w:val="bottom"/>
            <w:hideMark/>
          </w:tcPr>
          <w:p w14:paraId="71D2EA14" w14:textId="2906A478" w:rsidR="00607E1A" w:rsidRPr="00AB42F3" w:rsidRDefault="00607E1A" w:rsidP="0097553A">
            <w:pPr>
              <w:jc w:val="right"/>
              <w:rPr>
                <w:rFonts w:ascii="Arial" w:hAnsi="Arial" w:cs="Arial"/>
                <w:b/>
                <w:color w:val="000000"/>
                <w:sz w:val="16"/>
                <w:szCs w:val="16"/>
                <w:lang w:val="en-US"/>
              </w:rPr>
            </w:pPr>
            <w:r w:rsidRPr="00AB42F3">
              <w:rPr>
                <w:rFonts w:ascii="Arial" w:hAnsi="Arial" w:cs="Arial"/>
                <w:b/>
                <w:sz w:val="16"/>
                <w:szCs w:val="16"/>
              </w:rPr>
              <w:t xml:space="preserve"> 9</w:t>
            </w:r>
            <w:r w:rsidR="00AD3BCD" w:rsidRPr="00AB42F3">
              <w:rPr>
                <w:rFonts w:ascii="Arial" w:hAnsi="Arial" w:cs="Arial"/>
                <w:b/>
                <w:sz w:val="16"/>
                <w:szCs w:val="16"/>
              </w:rPr>
              <w:t>59</w:t>
            </w:r>
            <w:r w:rsidRPr="00AB42F3">
              <w:rPr>
                <w:rFonts w:ascii="Arial" w:hAnsi="Arial" w:cs="Arial"/>
                <w:b/>
                <w:sz w:val="16"/>
                <w:szCs w:val="16"/>
              </w:rPr>
              <w:t>,</w:t>
            </w:r>
            <w:r w:rsidR="00AD3BCD" w:rsidRPr="00AB42F3">
              <w:rPr>
                <w:rFonts w:ascii="Arial" w:hAnsi="Arial" w:cs="Arial"/>
                <w:b/>
                <w:sz w:val="16"/>
                <w:szCs w:val="16"/>
              </w:rPr>
              <w:t>723</w:t>
            </w:r>
            <w:r w:rsidRPr="00AB42F3">
              <w:rPr>
                <w:rFonts w:ascii="Arial" w:hAnsi="Arial" w:cs="Arial"/>
                <w:b/>
                <w:sz w:val="16"/>
                <w:szCs w:val="16"/>
              </w:rPr>
              <w:t xml:space="preserve"> </w:t>
            </w:r>
          </w:p>
        </w:tc>
      </w:tr>
      <w:tr w:rsidR="00607E1A" w:rsidRPr="000B6069" w14:paraId="587B3AF9" w14:textId="77777777" w:rsidTr="00A7016F">
        <w:trPr>
          <w:trHeight w:hRule="exact" w:val="261"/>
        </w:trPr>
        <w:tc>
          <w:tcPr>
            <w:tcW w:w="1620" w:type="dxa"/>
            <w:tcBorders>
              <w:top w:val="nil"/>
              <w:left w:val="nil"/>
              <w:bottom w:val="nil"/>
              <w:right w:val="nil"/>
            </w:tcBorders>
            <w:shd w:val="clear" w:color="auto" w:fill="auto"/>
            <w:vAlign w:val="bottom"/>
            <w:hideMark/>
          </w:tcPr>
          <w:p w14:paraId="7AF62C68"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Drilling</w:t>
            </w:r>
          </w:p>
        </w:tc>
        <w:tc>
          <w:tcPr>
            <w:tcW w:w="1080" w:type="dxa"/>
            <w:tcBorders>
              <w:top w:val="nil"/>
              <w:left w:val="nil"/>
              <w:bottom w:val="nil"/>
              <w:right w:val="nil"/>
            </w:tcBorders>
            <w:shd w:val="clear" w:color="auto" w:fill="auto"/>
            <w:vAlign w:val="bottom"/>
            <w:hideMark/>
          </w:tcPr>
          <w:p w14:paraId="51128DB6"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080" w:type="dxa"/>
            <w:tcBorders>
              <w:top w:val="nil"/>
              <w:left w:val="nil"/>
              <w:bottom w:val="nil"/>
              <w:right w:val="nil"/>
            </w:tcBorders>
            <w:shd w:val="clear" w:color="auto" w:fill="auto"/>
            <w:vAlign w:val="bottom"/>
            <w:hideMark/>
          </w:tcPr>
          <w:p w14:paraId="4FD369BD"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1,212 </w:t>
            </w:r>
          </w:p>
        </w:tc>
        <w:tc>
          <w:tcPr>
            <w:tcW w:w="990" w:type="dxa"/>
            <w:tcBorders>
              <w:top w:val="nil"/>
              <w:left w:val="nil"/>
              <w:bottom w:val="nil"/>
              <w:right w:val="nil"/>
            </w:tcBorders>
            <w:shd w:val="clear" w:color="auto" w:fill="auto"/>
            <w:vAlign w:val="bottom"/>
            <w:hideMark/>
          </w:tcPr>
          <w:p w14:paraId="7C8C63B4"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w:t>
            </w:r>
          </w:p>
        </w:tc>
        <w:tc>
          <w:tcPr>
            <w:tcW w:w="1134" w:type="dxa"/>
            <w:tcBorders>
              <w:top w:val="nil"/>
              <w:left w:val="nil"/>
              <w:bottom w:val="nil"/>
              <w:right w:val="nil"/>
            </w:tcBorders>
            <w:shd w:val="clear" w:color="auto" w:fill="auto"/>
            <w:vAlign w:val="bottom"/>
            <w:hideMark/>
          </w:tcPr>
          <w:p w14:paraId="30D9EDBF"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936" w:type="dxa"/>
            <w:tcBorders>
              <w:top w:val="nil"/>
              <w:left w:val="nil"/>
              <w:bottom w:val="nil"/>
              <w:right w:val="nil"/>
            </w:tcBorders>
            <w:vAlign w:val="bottom"/>
          </w:tcPr>
          <w:p w14:paraId="33828DE2"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 xml:space="preserve"> - </w:t>
            </w:r>
          </w:p>
        </w:tc>
        <w:tc>
          <w:tcPr>
            <w:tcW w:w="1260" w:type="dxa"/>
            <w:tcBorders>
              <w:top w:val="nil"/>
              <w:left w:val="nil"/>
              <w:bottom w:val="nil"/>
              <w:right w:val="nil"/>
            </w:tcBorders>
            <w:shd w:val="clear" w:color="auto" w:fill="auto"/>
            <w:vAlign w:val="bottom"/>
            <w:hideMark/>
          </w:tcPr>
          <w:p w14:paraId="3289D43F" w14:textId="77777777" w:rsidR="00607E1A" w:rsidRPr="00A10E12" w:rsidRDefault="00607E1A" w:rsidP="0097553A">
            <w:pPr>
              <w:jc w:val="right"/>
              <w:rPr>
                <w:rFonts w:ascii="Arial" w:hAnsi="Arial" w:cs="Arial"/>
                <w:b/>
                <w:bCs/>
                <w:color w:val="000000"/>
                <w:sz w:val="16"/>
                <w:szCs w:val="16"/>
                <w:lang w:val="en-US"/>
              </w:rPr>
            </w:pPr>
            <w:r w:rsidRPr="00A10E12">
              <w:rPr>
                <w:rFonts w:ascii="Arial" w:hAnsi="Arial" w:cs="Arial"/>
                <w:b/>
                <w:bCs/>
                <w:sz w:val="16"/>
                <w:szCs w:val="16"/>
              </w:rPr>
              <w:t xml:space="preserve"> 1,212 </w:t>
            </w:r>
          </w:p>
        </w:tc>
        <w:tc>
          <w:tcPr>
            <w:tcW w:w="1260" w:type="dxa"/>
            <w:tcBorders>
              <w:top w:val="nil"/>
              <w:left w:val="nil"/>
              <w:bottom w:val="nil"/>
              <w:right w:val="nil"/>
            </w:tcBorders>
            <w:shd w:val="clear" w:color="auto" w:fill="auto"/>
            <w:noWrap/>
            <w:vAlign w:val="bottom"/>
            <w:hideMark/>
          </w:tcPr>
          <w:p w14:paraId="6CA030C1" w14:textId="77777777" w:rsidR="00607E1A" w:rsidRPr="00AB42F3" w:rsidRDefault="00607E1A" w:rsidP="0097553A">
            <w:pPr>
              <w:jc w:val="right"/>
              <w:rPr>
                <w:rFonts w:ascii="Arial" w:hAnsi="Arial" w:cs="Arial"/>
                <w:b/>
                <w:color w:val="000000"/>
                <w:sz w:val="16"/>
                <w:szCs w:val="16"/>
                <w:lang w:val="en-US"/>
              </w:rPr>
            </w:pPr>
            <w:r w:rsidRPr="00AB42F3">
              <w:rPr>
                <w:rFonts w:ascii="Arial" w:hAnsi="Arial" w:cs="Arial"/>
                <w:b/>
                <w:sz w:val="16"/>
                <w:szCs w:val="16"/>
              </w:rPr>
              <w:t xml:space="preserve"> 8,788,131 </w:t>
            </w:r>
          </w:p>
        </w:tc>
      </w:tr>
      <w:tr w:rsidR="00607E1A" w:rsidRPr="000B6069" w14:paraId="3A0CDC44" w14:textId="77777777" w:rsidTr="00A7016F">
        <w:trPr>
          <w:trHeight w:hRule="exact" w:val="261"/>
        </w:trPr>
        <w:tc>
          <w:tcPr>
            <w:tcW w:w="1620" w:type="dxa"/>
            <w:tcBorders>
              <w:top w:val="nil"/>
              <w:left w:val="nil"/>
              <w:bottom w:val="nil"/>
              <w:right w:val="nil"/>
            </w:tcBorders>
            <w:shd w:val="clear" w:color="auto" w:fill="auto"/>
            <w:vAlign w:val="bottom"/>
            <w:hideMark/>
          </w:tcPr>
          <w:p w14:paraId="0A923ACD"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Property Work</w:t>
            </w:r>
          </w:p>
        </w:tc>
        <w:tc>
          <w:tcPr>
            <w:tcW w:w="1080" w:type="dxa"/>
            <w:tcBorders>
              <w:top w:val="nil"/>
              <w:left w:val="nil"/>
              <w:bottom w:val="nil"/>
              <w:right w:val="nil"/>
            </w:tcBorders>
            <w:shd w:val="clear" w:color="auto" w:fill="auto"/>
            <w:vAlign w:val="bottom"/>
            <w:hideMark/>
          </w:tcPr>
          <w:p w14:paraId="26E683DF"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lang w:val="en-US"/>
              </w:rPr>
              <w:t>-</w:t>
            </w:r>
          </w:p>
        </w:tc>
        <w:tc>
          <w:tcPr>
            <w:tcW w:w="1080" w:type="dxa"/>
            <w:tcBorders>
              <w:top w:val="nil"/>
              <w:left w:val="nil"/>
              <w:bottom w:val="nil"/>
              <w:right w:val="nil"/>
            </w:tcBorders>
            <w:shd w:val="clear" w:color="auto" w:fill="auto"/>
            <w:vAlign w:val="bottom"/>
            <w:hideMark/>
          </w:tcPr>
          <w:p w14:paraId="745DBABB" w14:textId="1E020122"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1</w:t>
            </w:r>
            <w:r w:rsidR="006F03B8" w:rsidRPr="00A10E12">
              <w:rPr>
                <w:rFonts w:ascii="Arial" w:hAnsi="Arial" w:cs="Arial"/>
                <w:sz w:val="16"/>
                <w:szCs w:val="16"/>
              </w:rPr>
              <w:t>3</w:t>
            </w:r>
            <w:r w:rsidRPr="00A10E12">
              <w:rPr>
                <w:rFonts w:ascii="Arial" w:hAnsi="Arial" w:cs="Arial"/>
                <w:sz w:val="16"/>
                <w:szCs w:val="16"/>
              </w:rPr>
              <w:t>,</w:t>
            </w:r>
            <w:r w:rsidR="006F03B8" w:rsidRPr="00A10E12">
              <w:rPr>
                <w:rFonts w:ascii="Arial" w:hAnsi="Arial" w:cs="Arial"/>
                <w:sz w:val="16"/>
                <w:szCs w:val="16"/>
              </w:rPr>
              <w:t>372</w:t>
            </w:r>
            <w:r w:rsidRPr="00A10E12">
              <w:rPr>
                <w:rFonts w:ascii="Arial" w:hAnsi="Arial" w:cs="Arial"/>
                <w:sz w:val="16"/>
                <w:szCs w:val="16"/>
              </w:rPr>
              <w:t xml:space="preserve"> </w:t>
            </w:r>
          </w:p>
        </w:tc>
        <w:tc>
          <w:tcPr>
            <w:tcW w:w="990" w:type="dxa"/>
            <w:tcBorders>
              <w:top w:val="nil"/>
              <w:left w:val="nil"/>
              <w:bottom w:val="nil"/>
              <w:right w:val="nil"/>
            </w:tcBorders>
            <w:shd w:val="clear" w:color="auto" w:fill="auto"/>
            <w:vAlign w:val="bottom"/>
            <w:hideMark/>
          </w:tcPr>
          <w:p w14:paraId="4AD18507"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16,171 </w:t>
            </w:r>
          </w:p>
        </w:tc>
        <w:tc>
          <w:tcPr>
            <w:tcW w:w="1134" w:type="dxa"/>
            <w:tcBorders>
              <w:top w:val="nil"/>
              <w:left w:val="nil"/>
              <w:bottom w:val="nil"/>
              <w:right w:val="nil"/>
            </w:tcBorders>
            <w:shd w:val="clear" w:color="auto" w:fill="auto"/>
            <w:vAlign w:val="bottom"/>
            <w:hideMark/>
          </w:tcPr>
          <w:p w14:paraId="62E9495D"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lang w:val="en-US"/>
              </w:rPr>
              <w:t>-</w:t>
            </w:r>
          </w:p>
        </w:tc>
        <w:tc>
          <w:tcPr>
            <w:tcW w:w="936" w:type="dxa"/>
            <w:tcBorders>
              <w:top w:val="nil"/>
              <w:left w:val="nil"/>
              <w:bottom w:val="nil"/>
              <w:right w:val="nil"/>
            </w:tcBorders>
            <w:vAlign w:val="bottom"/>
          </w:tcPr>
          <w:p w14:paraId="2AB05D3D"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 xml:space="preserve"> - </w:t>
            </w:r>
          </w:p>
        </w:tc>
        <w:tc>
          <w:tcPr>
            <w:tcW w:w="1260" w:type="dxa"/>
            <w:tcBorders>
              <w:top w:val="nil"/>
              <w:left w:val="nil"/>
              <w:bottom w:val="nil"/>
              <w:right w:val="nil"/>
            </w:tcBorders>
            <w:shd w:val="clear" w:color="auto" w:fill="auto"/>
            <w:vAlign w:val="bottom"/>
            <w:hideMark/>
          </w:tcPr>
          <w:p w14:paraId="4AF5A894" w14:textId="0E0A84E0" w:rsidR="00607E1A" w:rsidRPr="00A10E12" w:rsidRDefault="00607E1A" w:rsidP="0097553A">
            <w:pPr>
              <w:jc w:val="right"/>
              <w:rPr>
                <w:rFonts w:ascii="Arial" w:hAnsi="Arial" w:cs="Arial"/>
                <w:b/>
                <w:bCs/>
                <w:color w:val="000000"/>
                <w:sz w:val="16"/>
                <w:szCs w:val="16"/>
                <w:lang w:val="en-US"/>
              </w:rPr>
            </w:pPr>
            <w:r w:rsidRPr="00A10E12">
              <w:rPr>
                <w:rFonts w:ascii="Arial" w:hAnsi="Arial" w:cs="Arial"/>
                <w:b/>
                <w:bCs/>
                <w:sz w:val="16"/>
                <w:szCs w:val="16"/>
              </w:rPr>
              <w:t xml:space="preserve"> </w:t>
            </w:r>
            <w:r w:rsidR="006F03B8" w:rsidRPr="00A10E12">
              <w:rPr>
                <w:rFonts w:ascii="Arial" w:hAnsi="Arial" w:cs="Arial"/>
                <w:b/>
                <w:bCs/>
                <w:sz w:val="16"/>
                <w:szCs w:val="16"/>
              </w:rPr>
              <w:t>29,543</w:t>
            </w:r>
            <w:r w:rsidRPr="00A10E12">
              <w:rPr>
                <w:rFonts w:ascii="Arial" w:hAnsi="Arial" w:cs="Arial"/>
                <w:b/>
                <w:bCs/>
                <w:sz w:val="16"/>
                <w:szCs w:val="16"/>
              </w:rPr>
              <w:t xml:space="preserve"> </w:t>
            </w:r>
          </w:p>
        </w:tc>
        <w:tc>
          <w:tcPr>
            <w:tcW w:w="1260" w:type="dxa"/>
            <w:tcBorders>
              <w:top w:val="nil"/>
              <w:left w:val="nil"/>
              <w:bottom w:val="nil"/>
              <w:right w:val="nil"/>
            </w:tcBorders>
            <w:shd w:val="clear" w:color="auto" w:fill="auto"/>
            <w:noWrap/>
            <w:vAlign w:val="bottom"/>
            <w:hideMark/>
          </w:tcPr>
          <w:p w14:paraId="4D51112D" w14:textId="66BEE688" w:rsidR="00607E1A" w:rsidRPr="00AB42F3" w:rsidRDefault="00607E1A" w:rsidP="0097553A">
            <w:pPr>
              <w:jc w:val="right"/>
              <w:rPr>
                <w:rFonts w:ascii="Arial" w:hAnsi="Arial" w:cs="Arial"/>
                <w:b/>
                <w:color w:val="000000"/>
                <w:sz w:val="16"/>
                <w:szCs w:val="16"/>
                <w:lang w:val="en-US"/>
              </w:rPr>
            </w:pPr>
            <w:r w:rsidRPr="00AB42F3">
              <w:rPr>
                <w:rFonts w:ascii="Arial" w:hAnsi="Arial" w:cs="Arial"/>
                <w:b/>
                <w:sz w:val="16"/>
                <w:szCs w:val="16"/>
              </w:rPr>
              <w:t xml:space="preserve"> 1,0</w:t>
            </w:r>
            <w:r w:rsidR="00AD3BCD" w:rsidRPr="00AB42F3">
              <w:rPr>
                <w:rFonts w:ascii="Arial" w:hAnsi="Arial" w:cs="Arial"/>
                <w:b/>
                <w:sz w:val="16"/>
                <w:szCs w:val="16"/>
              </w:rPr>
              <w:t>43</w:t>
            </w:r>
            <w:r w:rsidRPr="00AB42F3">
              <w:rPr>
                <w:rFonts w:ascii="Arial" w:hAnsi="Arial" w:cs="Arial"/>
                <w:b/>
                <w:sz w:val="16"/>
                <w:szCs w:val="16"/>
              </w:rPr>
              <w:t>,</w:t>
            </w:r>
            <w:r w:rsidR="00AD3BCD" w:rsidRPr="00AB42F3">
              <w:rPr>
                <w:rFonts w:ascii="Arial" w:hAnsi="Arial" w:cs="Arial"/>
                <w:b/>
                <w:sz w:val="16"/>
                <w:szCs w:val="16"/>
              </w:rPr>
              <w:t>371</w:t>
            </w:r>
            <w:r w:rsidRPr="00AB42F3">
              <w:rPr>
                <w:rFonts w:ascii="Arial" w:hAnsi="Arial" w:cs="Arial"/>
                <w:b/>
                <w:sz w:val="16"/>
                <w:szCs w:val="16"/>
              </w:rPr>
              <w:t xml:space="preserve"> </w:t>
            </w:r>
          </w:p>
        </w:tc>
      </w:tr>
      <w:tr w:rsidR="00607E1A" w:rsidRPr="000B6069" w14:paraId="4CF11F8A" w14:textId="77777777" w:rsidTr="00A7016F">
        <w:trPr>
          <w:trHeight w:hRule="exact" w:val="261"/>
        </w:trPr>
        <w:tc>
          <w:tcPr>
            <w:tcW w:w="1620" w:type="dxa"/>
            <w:tcBorders>
              <w:top w:val="nil"/>
              <w:left w:val="nil"/>
              <w:bottom w:val="nil"/>
              <w:right w:val="nil"/>
            </w:tcBorders>
            <w:shd w:val="clear" w:color="auto" w:fill="auto"/>
            <w:vAlign w:val="bottom"/>
            <w:hideMark/>
          </w:tcPr>
          <w:p w14:paraId="1A6AEC48"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Ops Support</w:t>
            </w:r>
          </w:p>
        </w:tc>
        <w:tc>
          <w:tcPr>
            <w:tcW w:w="1080" w:type="dxa"/>
            <w:tcBorders>
              <w:top w:val="nil"/>
              <w:left w:val="nil"/>
              <w:bottom w:val="nil"/>
              <w:right w:val="nil"/>
            </w:tcBorders>
            <w:shd w:val="clear" w:color="auto" w:fill="auto"/>
            <w:vAlign w:val="bottom"/>
            <w:hideMark/>
          </w:tcPr>
          <w:p w14:paraId="12F735E3"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080" w:type="dxa"/>
            <w:tcBorders>
              <w:top w:val="nil"/>
              <w:left w:val="nil"/>
              <w:bottom w:val="nil"/>
              <w:right w:val="nil"/>
            </w:tcBorders>
            <w:shd w:val="clear" w:color="auto" w:fill="auto"/>
            <w:vAlign w:val="bottom"/>
            <w:hideMark/>
          </w:tcPr>
          <w:p w14:paraId="30DB13FE"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2,437 </w:t>
            </w:r>
          </w:p>
        </w:tc>
        <w:tc>
          <w:tcPr>
            <w:tcW w:w="990" w:type="dxa"/>
            <w:tcBorders>
              <w:top w:val="nil"/>
              <w:left w:val="nil"/>
              <w:right w:val="nil"/>
            </w:tcBorders>
            <w:shd w:val="clear" w:color="auto" w:fill="auto"/>
            <w:vAlign w:val="bottom"/>
            <w:hideMark/>
          </w:tcPr>
          <w:p w14:paraId="5F9AB889" w14:textId="7EA1F72B"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w:t>
            </w:r>
            <w:r w:rsidR="006F03B8" w:rsidRPr="00A10E12">
              <w:rPr>
                <w:rFonts w:ascii="Arial" w:hAnsi="Arial" w:cs="Arial"/>
                <w:sz w:val="16"/>
                <w:szCs w:val="16"/>
              </w:rPr>
              <w:t>21</w:t>
            </w:r>
            <w:r w:rsidRPr="00A10E12">
              <w:rPr>
                <w:rFonts w:ascii="Arial" w:hAnsi="Arial" w:cs="Arial"/>
                <w:sz w:val="16"/>
                <w:szCs w:val="16"/>
              </w:rPr>
              <w:t>,</w:t>
            </w:r>
            <w:r w:rsidR="006F03B8" w:rsidRPr="00A10E12">
              <w:rPr>
                <w:rFonts w:ascii="Arial" w:hAnsi="Arial" w:cs="Arial"/>
                <w:sz w:val="16"/>
                <w:szCs w:val="16"/>
              </w:rPr>
              <w:t>633</w:t>
            </w:r>
            <w:r w:rsidRPr="00A10E12">
              <w:rPr>
                <w:rFonts w:ascii="Arial" w:hAnsi="Arial" w:cs="Arial"/>
                <w:sz w:val="16"/>
                <w:szCs w:val="16"/>
              </w:rPr>
              <w:t xml:space="preserve"> </w:t>
            </w:r>
          </w:p>
        </w:tc>
        <w:tc>
          <w:tcPr>
            <w:tcW w:w="1134" w:type="dxa"/>
            <w:tcBorders>
              <w:top w:val="nil"/>
              <w:left w:val="nil"/>
              <w:bottom w:val="nil"/>
              <w:right w:val="nil"/>
            </w:tcBorders>
            <w:shd w:val="clear" w:color="auto" w:fill="auto"/>
            <w:vAlign w:val="bottom"/>
            <w:hideMark/>
          </w:tcPr>
          <w:p w14:paraId="4DA641A0" w14:textId="046820A1"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w:t>
            </w:r>
            <w:r w:rsidR="006F03B8" w:rsidRPr="00A10E12">
              <w:rPr>
                <w:rFonts w:ascii="Arial" w:hAnsi="Arial" w:cs="Arial"/>
                <w:sz w:val="16"/>
                <w:szCs w:val="16"/>
              </w:rPr>
              <w:t>9</w:t>
            </w:r>
            <w:r w:rsidRPr="00A10E12">
              <w:rPr>
                <w:rFonts w:ascii="Arial" w:hAnsi="Arial" w:cs="Arial"/>
                <w:sz w:val="16"/>
                <w:szCs w:val="16"/>
              </w:rPr>
              <w:t>,</w:t>
            </w:r>
            <w:r w:rsidR="006F03B8" w:rsidRPr="00A10E12">
              <w:rPr>
                <w:rFonts w:ascii="Arial" w:hAnsi="Arial" w:cs="Arial"/>
                <w:sz w:val="16"/>
                <w:szCs w:val="16"/>
              </w:rPr>
              <w:t>727</w:t>
            </w:r>
            <w:r w:rsidRPr="00A10E12">
              <w:rPr>
                <w:rFonts w:ascii="Arial" w:hAnsi="Arial" w:cs="Arial"/>
                <w:sz w:val="16"/>
                <w:szCs w:val="16"/>
              </w:rPr>
              <w:t xml:space="preserve"> </w:t>
            </w:r>
          </w:p>
        </w:tc>
        <w:tc>
          <w:tcPr>
            <w:tcW w:w="936" w:type="dxa"/>
            <w:tcBorders>
              <w:top w:val="nil"/>
              <w:left w:val="nil"/>
              <w:bottom w:val="nil"/>
              <w:right w:val="nil"/>
            </w:tcBorders>
            <w:vAlign w:val="bottom"/>
          </w:tcPr>
          <w:p w14:paraId="7E307981"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 xml:space="preserve"> - </w:t>
            </w:r>
          </w:p>
        </w:tc>
        <w:tc>
          <w:tcPr>
            <w:tcW w:w="1260" w:type="dxa"/>
            <w:tcBorders>
              <w:top w:val="nil"/>
              <w:left w:val="nil"/>
              <w:bottom w:val="nil"/>
              <w:right w:val="nil"/>
            </w:tcBorders>
            <w:shd w:val="clear" w:color="auto" w:fill="auto"/>
            <w:vAlign w:val="bottom"/>
            <w:hideMark/>
          </w:tcPr>
          <w:p w14:paraId="24B236A9" w14:textId="265E8694" w:rsidR="00607E1A" w:rsidRPr="00A10E12" w:rsidRDefault="00607E1A" w:rsidP="0097553A">
            <w:pPr>
              <w:jc w:val="right"/>
              <w:rPr>
                <w:rFonts w:ascii="Arial" w:hAnsi="Arial" w:cs="Arial"/>
                <w:b/>
                <w:bCs/>
                <w:color w:val="000000"/>
                <w:sz w:val="16"/>
                <w:szCs w:val="16"/>
                <w:lang w:val="en-US"/>
              </w:rPr>
            </w:pPr>
            <w:r w:rsidRPr="00A10E12">
              <w:rPr>
                <w:rFonts w:ascii="Arial" w:hAnsi="Arial" w:cs="Arial"/>
                <w:b/>
                <w:bCs/>
                <w:sz w:val="16"/>
                <w:szCs w:val="16"/>
              </w:rPr>
              <w:t xml:space="preserve"> </w:t>
            </w:r>
            <w:r w:rsidR="006F03B8" w:rsidRPr="00A10E12">
              <w:rPr>
                <w:rFonts w:ascii="Arial" w:hAnsi="Arial" w:cs="Arial"/>
                <w:b/>
                <w:bCs/>
                <w:sz w:val="16"/>
                <w:szCs w:val="16"/>
              </w:rPr>
              <w:t>33,797</w:t>
            </w:r>
            <w:r w:rsidRPr="00A10E12">
              <w:rPr>
                <w:rFonts w:ascii="Arial" w:hAnsi="Arial" w:cs="Arial"/>
                <w:b/>
                <w:bCs/>
                <w:sz w:val="16"/>
                <w:szCs w:val="16"/>
              </w:rPr>
              <w:t xml:space="preserve"> </w:t>
            </w:r>
          </w:p>
        </w:tc>
        <w:tc>
          <w:tcPr>
            <w:tcW w:w="1260" w:type="dxa"/>
            <w:tcBorders>
              <w:top w:val="nil"/>
              <w:left w:val="nil"/>
              <w:bottom w:val="nil"/>
              <w:right w:val="nil"/>
            </w:tcBorders>
            <w:shd w:val="clear" w:color="auto" w:fill="auto"/>
            <w:noWrap/>
            <w:vAlign w:val="bottom"/>
            <w:hideMark/>
          </w:tcPr>
          <w:p w14:paraId="63E7C157" w14:textId="12BED0EF" w:rsidR="00607E1A" w:rsidRPr="00AB42F3" w:rsidRDefault="00607E1A" w:rsidP="0097553A">
            <w:pPr>
              <w:jc w:val="right"/>
              <w:rPr>
                <w:rFonts w:ascii="Arial" w:hAnsi="Arial" w:cs="Arial"/>
                <w:b/>
                <w:color w:val="000000"/>
                <w:sz w:val="16"/>
                <w:szCs w:val="16"/>
                <w:lang w:val="en-US"/>
              </w:rPr>
            </w:pPr>
            <w:r w:rsidRPr="00AB42F3">
              <w:rPr>
                <w:rFonts w:ascii="Arial" w:hAnsi="Arial" w:cs="Arial"/>
                <w:b/>
                <w:sz w:val="16"/>
                <w:szCs w:val="16"/>
              </w:rPr>
              <w:t xml:space="preserve"> 63</w:t>
            </w:r>
            <w:r w:rsidR="00AD3BCD" w:rsidRPr="00AB42F3">
              <w:rPr>
                <w:rFonts w:ascii="Arial" w:hAnsi="Arial" w:cs="Arial"/>
                <w:b/>
                <w:sz w:val="16"/>
                <w:szCs w:val="16"/>
              </w:rPr>
              <w:t>9</w:t>
            </w:r>
            <w:r w:rsidRPr="00AB42F3">
              <w:rPr>
                <w:rFonts w:ascii="Arial" w:hAnsi="Arial" w:cs="Arial"/>
                <w:b/>
                <w:sz w:val="16"/>
                <w:szCs w:val="16"/>
              </w:rPr>
              <w:t>,</w:t>
            </w:r>
            <w:r w:rsidR="00AD3BCD" w:rsidRPr="00AB42F3">
              <w:rPr>
                <w:rFonts w:ascii="Arial" w:hAnsi="Arial" w:cs="Arial"/>
                <w:b/>
                <w:sz w:val="16"/>
                <w:szCs w:val="16"/>
              </w:rPr>
              <w:t>382</w:t>
            </w:r>
            <w:r w:rsidRPr="00AB42F3">
              <w:rPr>
                <w:rFonts w:ascii="Arial" w:hAnsi="Arial" w:cs="Arial"/>
                <w:b/>
                <w:sz w:val="16"/>
                <w:szCs w:val="16"/>
              </w:rPr>
              <w:t xml:space="preserve"> </w:t>
            </w:r>
          </w:p>
        </w:tc>
      </w:tr>
      <w:tr w:rsidR="00607E1A" w:rsidRPr="000B6069" w14:paraId="7E2BF88A" w14:textId="77777777" w:rsidTr="00A7016F">
        <w:trPr>
          <w:trHeight w:hRule="exact" w:val="261"/>
        </w:trPr>
        <w:tc>
          <w:tcPr>
            <w:tcW w:w="1620" w:type="dxa"/>
            <w:tcBorders>
              <w:top w:val="nil"/>
              <w:left w:val="nil"/>
              <w:bottom w:val="nil"/>
              <w:right w:val="nil"/>
            </w:tcBorders>
            <w:shd w:val="clear" w:color="auto" w:fill="auto"/>
            <w:vAlign w:val="bottom"/>
            <w:hideMark/>
          </w:tcPr>
          <w:p w14:paraId="5953D16A"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Administration</w:t>
            </w:r>
          </w:p>
        </w:tc>
        <w:tc>
          <w:tcPr>
            <w:tcW w:w="1080" w:type="dxa"/>
            <w:tcBorders>
              <w:top w:val="nil"/>
              <w:left w:val="nil"/>
              <w:bottom w:val="nil"/>
              <w:right w:val="nil"/>
            </w:tcBorders>
            <w:shd w:val="clear" w:color="auto" w:fill="auto"/>
            <w:vAlign w:val="bottom"/>
            <w:hideMark/>
          </w:tcPr>
          <w:p w14:paraId="7F95B901"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080" w:type="dxa"/>
            <w:tcBorders>
              <w:top w:val="nil"/>
              <w:left w:val="nil"/>
              <w:bottom w:val="nil"/>
              <w:right w:val="nil"/>
            </w:tcBorders>
            <w:shd w:val="clear" w:color="auto" w:fill="auto"/>
            <w:vAlign w:val="bottom"/>
            <w:hideMark/>
          </w:tcPr>
          <w:p w14:paraId="2DE751FA"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990" w:type="dxa"/>
            <w:tcBorders>
              <w:top w:val="nil"/>
              <w:left w:val="nil"/>
              <w:right w:val="nil"/>
            </w:tcBorders>
            <w:shd w:val="clear" w:color="auto" w:fill="auto"/>
            <w:vAlign w:val="bottom"/>
            <w:hideMark/>
          </w:tcPr>
          <w:p w14:paraId="1E40ABFB"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134" w:type="dxa"/>
            <w:tcBorders>
              <w:top w:val="nil"/>
              <w:left w:val="nil"/>
              <w:bottom w:val="nil"/>
              <w:right w:val="nil"/>
            </w:tcBorders>
            <w:shd w:val="clear" w:color="auto" w:fill="auto"/>
            <w:vAlign w:val="bottom"/>
            <w:hideMark/>
          </w:tcPr>
          <w:p w14:paraId="32126C97"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lang w:val="en-US"/>
              </w:rPr>
              <w:t>-</w:t>
            </w:r>
          </w:p>
        </w:tc>
        <w:tc>
          <w:tcPr>
            <w:tcW w:w="936" w:type="dxa"/>
            <w:tcBorders>
              <w:top w:val="nil"/>
              <w:left w:val="nil"/>
              <w:bottom w:val="nil"/>
              <w:right w:val="nil"/>
            </w:tcBorders>
            <w:vAlign w:val="bottom"/>
          </w:tcPr>
          <w:p w14:paraId="07DC9D5F"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 xml:space="preserve"> - </w:t>
            </w:r>
          </w:p>
        </w:tc>
        <w:tc>
          <w:tcPr>
            <w:tcW w:w="1260" w:type="dxa"/>
            <w:tcBorders>
              <w:top w:val="nil"/>
              <w:left w:val="nil"/>
              <w:bottom w:val="nil"/>
              <w:right w:val="nil"/>
            </w:tcBorders>
            <w:shd w:val="clear" w:color="auto" w:fill="auto"/>
            <w:vAlign w:val="bottom"/>
            <w:hideMark/>
          </w:tcPr>
          <w:p w14:paraId="358E080D" w14:textId="77777777" w:rsidR="00607E1A" w:rsidRPr="00A10E12" w:rsidRDefault="00607E1A" w:rsidP="0097553A">
            <w:pPr>
              <w:jc w:val="right"/>
              <w:rPr>
                <w:rFonts w:ascii="Arial" w:hAnsi="Arial" w:cs="Arial"/>
                <w:b/>
                <w:bCs/>
                <w:color w:val="000000"/>
                <w:sz w:val="16"/>
                <w:szCs w:val="16"/>
                <w:lang w:val="en-US"/>
              </w:rPr>
            </w:pPr>
            <w:r w:rsidRPr="00A10E12">
              <w:rPr>
                <w:rFonts w:ascii="Arial" w:hAnsi="Arial" w:cs="Arial"/>
                <w:b/>
                <w:bCs/>
                <w:sz w:val="16"/>
                <w:szCs w:val="16"/>
              </w:rPr>
              <w:t xml:space="preserve"> - </w:t>
            </w:r>
          </w:p>
        </w:tc>
        <w:tc>
          <w:tcPr>
            <w:tcW w:w="1260" w:type="dxa"/>
            <w:tcBorders>
              <w:top w:val="nil"/>
              <w:left w:val="nil"/>
              <w:bottom w:val="nil"/>
              <w:right w:val="nil"/>
            </w:tcBorders>
            <w:shd w:val="clear" w:color="auto" w:fill="auto"/>
            <w:noWrap/>
            <w:vAlign w:val="bottom"/>
            <w:hideMark/>
          </w:tcPr>
          <w:p w14:paraId="24D79997" w14:textId="77777777" w:rsidR="00607E1A" w:rsidRPr="00AB42F3" w:rsidRDefault="00607E1A" w:rsidP="0097553A">
            <w:pPr>
              <w:jc w:val="right"/>
              <w:rPr>
                <w:rFonts w:ascii="Arial" w:hAnsi="Arial" w:cs="Arial"/>
                <w:b/>
                <w:color w:val="000000"/>
                <w:sz w:val="16"/>
                <w:szCs w:val="16"/>
                <w:lang w:val="en-US"/>
              </w:rPr>
            </w:pPr>
            <w:r w:rsidRPr="00AB42F3">
              <w:rPr>
                <w:rFonts w:ascii="Arial" w:hAnsi="Arial" w:cs="Arial"/>
                <w:b/>
                <w:sz w:val="16"/>
                <w:szCs w:val="16"/>
              </w:rPr>
              <w:t xml:space="preserve"> 767,729 </w:t>
            </w:r>
          </w:p>
        </w:tc>
      </w:tr>
      <w:tr w:rsidR="00607E1A" w:rsidRPr="000B6069" w14:paraId="140843F2" w14:textId="77777777" w:rsidTr="00A7016F">
        <w:trPr>
          <w:trHeight w:hRule="exact" w:val="261"/>
        </w:trPr>
        <w:tc>
          <w:tcPr>
            <w:tcW w:w="1620" w:type="dxa"/>
            <w:tcBorders>
              <w:top w:val="nil"/>
              <w:left w:val="nil"/>
              <w:right w:val="nil"/>
            </w:tcBorders>
            <w:shd w:val="clear" w:color="auto" w:fill="auto"/>
            <w:vAlign w:val="bottom"/>
          </w:tcPr>
          <w:p w14:paraId="77EAB94B"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General Expense</w:t>
            </w:r>
          </w:p>
        </w:tc>
        <w:tc>
          <w:tcPr>
            <w:tcW w:w="1080" w:type="dxa"/>
            <w:tcBorders>
              <w:top w:val="nil"/>
              <w:left w:val="nil"/>
              <w:right w:val="nil"/>
            </w:tcBorders>
            <w:shd w:val="clear" w:color="auto" w:fill="auto"/>
            <w:vAlign w:val="bottom"/>
          </w:tcPr>
          <w:p w14:paraId="02D3797F"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 xml:space="preserve">154 </w:t>
            </w:r>
          </w:p>
        </w:tc>
        <w:tc>
          <w:tcPr>
            <w:tcW w:w="1080" w:type="dxa"/>
            <w:tcBorders>
              <w:top w:val="nil"/>
              <w:left w:val="nil"/>
              <w:right w:val="nil"/>
            </w:tcBorders>
            <w:shd w:val="clear" w:color="auto" w:fill="auto"/>
            <w:vAlign w:val="bottom"/>
          </w:tcPr>
          <w:p w14:paraId="05E8AB5F" w14:textId="02E3BC42" w:rsidR="00607E1A" w:rsidRPr="00A10E12" w:rsidRDefault="006F03B8" w:rsidP="0097553A">
            <w:pPr>
              <w:jc w:val="right"/>
              <w:rPr>
                <w:rFonts w:ascii="Arial" w:hAnsi="Arial" w:cs="Arial"/>
                <w:sz w:val="16"/>
                <w:szCs w:val="16"/>
              </w:rPr>
            </w:pPr>
            <w:r w:rsidRPr="00A10E12">
              <w:rPr>
                <w:rFonts w:ascii="Arial" w:hAnsi="Arial" w:cs="Arial"/>
                <w:sz w:val="16"/>
                <w:szCs w:val="16"/>
              </w:rPr>
              <w:t>26</w:t>
            </w:r>
            <w:r w:rsidR="00607E1A" w:rsidRPr="00A10E12">
              <w:rPr>
                <w:rFonts w:ascii="Arial" w:hAnsi="Arial" w:cs="Arial"/>
                <w:sz w:val="16"/>
                <w:szCs w:val="16"/>
              </w:rPr>
              <w:t>,3</w:t>
            </w:r>
            <w:r w:rsidRPr="00A10E12">
              <w:rPr>
                <w:rFonts w:ascii="Arial" w:hAnsi="Arial" w:cs="Arial"/>
                <w:sz w:val="16"/>
                <w:szCs w:val="16"/>
              </w:rPr>
              <w:t>53</w:t>
            </w:r>
          </w:p>
        </w:tc>
        <w:tc>
          <w:tcPr>
            <w:tcW w:w="990" w:type="dxa"/>
            <w:tcBorders>
              <w:left w:val="nil"/>
              <w:right w:val="nil"/>
            </w:tcBorders>
            <w:shd w:val="clear" w:color="auto" w:fill="auto"/>
            <w:vAlign w:val="bottom"/>
          </w:tcPr>
          <w:p w14:paraId="4A0311C3"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w:t>
            </w:r>
          </w:p>
        </w:tc>
        <w:tc>
          <w:tcPr>
            <w:tcW w:w="1134" w:type="dxa"/>
            <w:tcBorders>
              <w:top w:val="nil"/>
              <w:left w:val="nil"/>
              <w:right w:val="nil"/>
            </w:tcBorders>
            <w:shd w:val="clear" w:color="auto" w:fill="auto"/>
            <w:vAlign w:val="bottom"/>
          </w:tcPr>
          <w:p w14:paraId="72CD43CA"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lang w:val="en-US"/>
              </w:rPr>
              <w:t>-</w:t>
            </w:r>
          </w:p>
        </w:tc>
        <w:tc>
          <w:tcPr>
            <w:tcW w:w="936" w:type="dxa"/>
            <w:tcBorders>
              <w:top w:val="nil"/>
              <w:left w:val="nil"/>
              <w:right w:val="nil"/>
            </w:tcBorders>
            <w:vAlign w:val="bottom"/>
          </w:tcPr>
          <w:p w14:paraId="47AE84C2"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 xml:space="preserve"> 7,351 </w:t>
            </w:r>
          </w:p>
        </w:tc>
        <w:tc>
          <w:tcPr>
            <w:tcW w:w="1260" w:type="dxa"/>
            <w:tcBorders>
              <w:top w:val="nil"/>
              <w:left w:val="nil"/>
              <w:right w:val="nil"/>
            </w:tcBorders>
            <w:shd w:val="clear" w:color="auto" w:fill="auto"/>
            <w:vAlign w:val="bottom"/>
          </w:tcPr>
          <w:p w14:paraId="0D27E15E" w14:textId="5599A62C" w:rsidR="00607E1A" w:rsidRPr="00A10E12" w:rsidRDefault="00607E1A" w:rsidP="0097553A">
            <w:pPr>
              <w:jc w:val="right"/>
              <w:rPr>
                <w:rFonts w:ascii="Arial" w:hAnsi="Arial" w:cs="Arial"/>
                <w:b/>
                <w:bCs/>
                <w:sz w:val="16"/>
                <w:szCs w:val="16"/>
              </w:rPr>
            </w:pPr>
            <w:r w:rsidRPr="00A10E12">
              <w:rPr>
                <w:rFonts w:ascii="Arial" w:hAnsi="Arial" w:cs="Arial"/>
                <w:b/>
                <w:bCs/>
                <w:sz w:val="16"/>
                <w:szCs w:val="16"/>
              </w:rPr>
              <w:t xml:space="preserve"> </w:t>
            </w:r>
            <w:r w:rsidR="006F03B8" w:rsidRPr="00A10E12">
              <w:rPr>
                <w:rFonts w:ascii="Arial" w:hAnsi="Arial" w:cs="Arial"/>
                <w:b/>
                <w:bCs/>
                <w:sz w:val="16"/>
                <w:szCs w:val="16"/>
              </w:rPr>
              <w:t>33,858</w:t>
            </w:r>
            <w:r w:rsidRPr="00A10E12">
              <w:rPr>
                <w:rFonts w:ascii="Arial" w:hAnsi="Arial" w:cs="Arial"/>
                <w:b/>
                <w:bCs/>
                <w:sz w:val="16"/>
                <w:szCs w:val="16"/>
              </w:rPr>
              <w:t xml:space="preserve"> </w:t>
            </w:r>
          </w:p>
        </w:tc>
        <w:tc>
          <w:tcPr>
            <w:tcW w:w="1260" w:type="dxa"/>
            <w:tcBorders>
              <w:top w:val="nil"/>
              <w:left w:val="nil"/>
              <w:right w:val="nil"/>
            </w:tcBorders>
            <w:shd w:val="clear" w:color="auto" w:fill="auto"/>
            <w:noWrap/>
            <w:vAlign w:val="bottom"/>
          </w:tcPr>
          <w:p w14:paraId="4DFD9349" w14:textId="0C238A0B" w:rsidR="00607E1A" w:rsidRPr="00AB42F3" w:rsidRDefault="00607E1A" w:rsidP="0097553A">
            <w:pPr>
              <w:jc w:val="right"/>
              <w:rPr>
                <w:rFonts w:ascii="Arial" w:hAnsi="Arial" w:cs="Arial"/>
                <w:b/>
                <w:sz w:val="16"/>
                <w:szCs w:val="16"/>
              </w:rPr>
            </w:pPr>
            <w:r w:rsidRPr="00AB42F3">
              <w:rPr>
                <w:rFonts w:ascii="Arial" w:hAnsi="Arial" w:cs="Arial"/>
                <w:b/>
                <w:sz w:val="16"/>
                <w:szCs w:val="16"/>
              </w:rPr>
              <w:t xml:space="preserve"> </w:t>
            </w:r>
            <w:r w:rsidR="00AD3BCD" w:rsidRPr="00AB42F3">
              <w:rPr>
                <w:rFonts w:ascii="Arial" w:hAnsi="Arial" w:cs="Arial"/>
                <w:b/>
                <w:sz w:val="16"/>
                <w:szCs w:val="16"/>
              </w:rPr>
              <w:t>94</w:t>
            </w:r>
            <w:r w:rsidRPr="00AB42F3">
              <w:rPr>
                <w:rFonts w:ascii="Arial" w:hAnsi="Arial" w:cs="Arial"/>
                <w:b/>
                <w:sz w:val="16"/>
                <w:szCs w:val="16"/>
              </w:rPr>
              <w:t>,</w:t>
            </w:r>
            <w:r w:rsidR="00AD3BCD" w:rsidRPr="00AB42F3">
              <w:rPr>
                <w:rFonts w:ascii="Arial" w:hAnsi="Arial" w:cs="Arial"/>
                <w:b/>
                <w:sz w:val="16"/>
                <w:szCs w:val="16"/>
              </w:rPr>
              <w:t>058</w:t>
            </w:r>
          </w:p>
        </w:tc>
      </w:tr>
      <w:tr w:rsidR="00607E1A" w:rsidRPr="008405CA" w14:paraId="1E986E43" w14:textId="77777777" w:rsidTr="00A7016F">
        <w:trPr>
          <w:trHeight w:val="261"/>
        </w:trPr>
        <w:tc>
          <w:tcPr>
            <w:tcW w:w="1620" w:type="dxa"/>
            <w:tcBorders>
              <w:top w:val="nil"/>
              <w:left w:val="nil"/>
              <w:right w:val="nil"/>
            </w:tcBorders>
            <w:shd w:val="clear" w:color="auto" w:fill="auto"/>
            <w:vAlign w:val="bottom"/>
          </w:tcPr>
          <w:p w14:paraId="1C234806"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Site Acquisition Costs</w:t>
            </w:r>
          </w:p>
        </w:tc>
        <w:tc>
          <w:tcPr>
            <w:tcW w:w="1080" w:type="dxa"/>
            <w:tcBorders>
              <w:top w:val="nil"/>
              <w:left w:val="nil"/>
              <w:right w:val="nil"/>
            </w:tcBorders>
            <w:shd w:val="clear" w:color="auto" w:fill="auto"/>
            <w:vAlign w:val="bottom"/>
          </w:tcPr>
          <w:p w14:paraId="108ECEFF" w14:textId="206B76F1" w:rsidR="00607E1A" w:rsidRPr="00A10E12" w:rsidRDefault="00607E1A" w:rsidP="0097553A">
            <w:pPr>
              <w:jc w:val="right"/>
              <w:rPr>
                <w:rFonts w:ascii="Arial" w:hAnsi="Arial" w:cs="Arial"/>
                <w:sz w:val="16"/>
                <w:szCs w:val="16"/>
              </w:rPr>
            </w:pPr>
            <w:r w:rsidRPr="00A10E12">
              <w:rPr>
                <w:rFonts w:ascii="Arial" w:hAnsi="Arial" w:cs="Arial"/>
                <w:sz w:val="16"/>
                <w:szCs w:val="16"/>
              </w:rPr>
              <w:t xml:space="preserve"> </w:t>
            </w:r>
            <w:r w:rsidR="00432389">
              <w:rPr>
                <w:rFonts w:ascii="Arial" w:hAnsi="Arial" w:cs="Arial"/>
                <w:sz w:val="16"/>
                <w:szCs w:val="16"/>
              </w:rPr>
              <w:t>50,000</w:t>
            </w:r>
            <w:r w:rsidRPr="00A10E12">
              <w:rPr>
                <w:rFonts w:ascii="Arial" w:hAnsi="Arial" w:cs="Arial"/>
                <w:sz w:val="16"/>
                <w:szCs w:val="16"/>
              </w:rPr>
              <w:t xml:space="preserve">   </w:t>
            </w:r>
          </w:p>
        </w:tc>
        <w:tc>
          <w:tcPr>
            <w:tcW w:w="1080" w:type="dxa"/>
            <w:tcBorders>
              <w:top w:val="nil"/>
              <w:left w:val="nil"/>
              <w:right w:val="nil"/>
            </w:tcBorders>
            <w:shd w:val="clear" w:color="auto" w:fill="auto"/>
            <w:vAlign w:val="bottom"/>
          </w:tcPr>
          <w:p w14:paraId="51A7C4AF"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w:t>
            </w:r>
          </w:p>
        </w:tc>
        <w:tc>
          <w:tcPr>
            <w:tcW w:w="990" w:type="dxa"/>
            <w:tcBorders>
              <w:left w:val="nil"/>
              <w:right w:val="nil"/>
            </w:tcBorders>
            <w:shd w:val="clear" w:color="auto" w:fill="auto"/>
            <w:vAlign w:val="bottom"/>
          </w:tcPr>
          <w:p w14:paraId="2C314252"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w:t>
            </w:r>
          </w:p>
        </w:tc>
        <w:tc>
          <w:tcPr>
            <w:tcW w:w="1134" w:type="dxa"/>
            <w:tcBorders>
              <w:top w:val="nil"/>
              <w:left w:val="nil"/>
              <w:right w:val="nil"/>
            </w:tcBorders>
            <w:shd w:val="clear" w:color="auto" w:fill="auto"/>
            <w:vAlign w:val="bottom"/>
          </w:tcPr>
          <w:p w14:paraId="78CA07F8"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w:t>
            </w:r>
          </w:p>
        </w:tc>
        <w:tc>
          <w:tcPr>
            <w:tcW w:w="936" w:type="dxa"/>
            <w:tcBorders>
              <w:top w:val="nil"/>
              <w:left w:val="nil"/>
              <w:right w:val="nil"/>
            </w:tcBorders>
            <w:vAlign w:val="bottom"/>
          </w:tcPr>
          <w:p w14:paraId="79A0C088"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10,858</w:t>
            </w:r>
          </w:p>
        </w:tc>
        <w:tc>
          <w:tcPr>
            <w:tcW w:w="1260" w:type="dxa"/>
            <w:tcBorders>
              <w:top w:val="nil"/>
              <w:left w:val="nil"/>
              <w:right w:val="nil"/>
            </w:tcBorders>
            <w:shd w:val="clear" w:color="auto" w:fill="auto"/>
            <w:vAlign w:val="bottom"/>
          </w:tcPr>
          <w:p w14:paraId="270722F6" w14:textId="55BEB53F" w:rsidR="00607E1A" w:rsidRPr="00A10E12" w:rsidRDefault="00432389" w:rsidP="0097553A">
            <w:pPr>
              <w:jc w:val="right"/>
              <w:rPr>
                <w:rFonts w:ascii="Arial" w:hAnsi="Arial" w:cs="Arial"/>
                <w:b/>
                <w:bCs/>
                <w:sz w:val="16"/>
                <w:szCs w:val="16"/>
              </w:rPr>
            </w:pPr>
            <w:r>
              <w:rPr>
                <w:rFonts w:ascii="Arial" w:hAnsi="Arial" w:cs="Arial"/>
                <w:b/>
                <w:bCs/>
                <w:sz w:val="16"/>
                <w:szCs w:val="16"/>
              </w:rPr>
              <w:t>6</w:t>
            </w:r>
            <w:r w:rsidR="006F03B8" w:rsidRPr="00A10E12">
              <w:rPr>
                <w:rFonts w:ascii="Arial" w:hAnsi="Arial" w:cs="Arial"/>
                <w:b/>
                <w:bCs/>
                <w:sz w:val="16"/>
                <w:szCs w:val="16"/>
              </w:rPr>
              <w:t>0,858</w:t>
            </w:r>
            <w:r w:rsidR="00607E1A" w:rsidRPr="00A10E12">
              <w:rPr>
                <w:rFonts w:ascii="Arial" w:hAnsi="Arial" w:cs="Arial"/>
                <w:b/>
                <w:bCs/>
                <w:sz w:val="16"/>
                <w:szCs w:val="16"/>
              </w:rPr>
              <w:t xml:space="preserve">   </w:t>
            </w:r>
          </w:p>
        </w:tc>
        <w:tc>
          <w:tcPr>
            <w:tcW w:w="1260" w:type="dxa"/>
            <w:tcBorders>
              <w:top w:val="nil"/>
              <w:left w:val="nil"/>
              <w:right w:val="nil"/>
            </w:tcBorders>
            <w:shd w:val="clear" w:color="auto" w:fill="auto"/>
            <w:noWrap/>
            <w:vAlign w:val="bottom"/>
          </w:tcPr>
          <w:p w14:paraId="57D4ED17" w14:textId="69D1794B" w:rsidR="00607E1A" w:rsidRPr="00AB42F3" w:rsidRDefault="00607E1A" w:rsidP="0097553A">
            <w:pPr>
              <w:jc w:val="right"/>
              <w:rPr>
                <w:rFonts w:ascii="Arial" w:hAnsi="Arial" w:cs="Arial"/>
                <w:b/>
                <w:sz w:val="16"/>
                <w:szCs w:val="16"/>
              </w:rPr>
            </w:pPr>
            <w:r w:rsidRPr="00AB42F3">
              <w:rPr>
                <w:rFonts w:ascii="Arial" w:hAnsi="Arial" w:cs="Arial"/>
                <w:b/>
                <w:sz w:val="16"/>
                <w:szCs w:val="16"/>
              </w:rPr>
              <w:t xml:space="preserve"> </w:t>
            </w:r>
            <w:r w:rsidR="00432389">
              <w:rPr>
                <w:rFonts w:ascii="Arial" w:hAnsi="Arial" w:cs="Arial"/>
                <w:b/>
                <w:sz w:val="16"/>
                <w:szCs w:val="16"/>
              </w:rPr>
              <w:t>22</w:t>
            </w:r>
            <w:r w:rsidRPr="003B2CC3">
              <w:rPr>
                <w:rFonts w:ascii="Arial" w:hAnsi="Arial" w:cs="Arial"/>
                <w:b/>
                <w:sz w:val="16"/>
                <w:szCs w:val="16"/>
              </w:rPr>
              <w:t>8,695</w:t>
            </w:r>
            <w:r w:rsidRPr="00AB42F3">
              <w:rPr>
                <w:rFonts w:ascii="Arial" w:hAnsi="Arial" w:cs="Arial"/>
                <w:b/>
                <w:sz w:val="16"/>
                <w:szCs w:val="16"/>
              </w:rPr>
              <w:t xml:space="preserve"> </w:t>
            </w:r>
          </w:p>
        </w:tc>
      </w:tr>
      <w:tr w:rsidR="00607E1A" w:rsidRPr="008405CA" w14:paraId="368D6223" w14:textId="77777777" w:rsidTr="00A7016F">
        <w:trPr>
          <w:trHeight w:val="261"/>
        </w:trPr>
        <w:tc>
          <w:tcPr>
            <w:tcW w:w="1620" w:type="dxa"/>
            <w:tcBorders>
              <w:left w:val="nil"/>
              <w:bottom w:val="single" w:sz="4" w:space="0" w:color="auto"/>
              <w:right w:val="nil"/>
            </w:tcBorders>
            <w:shd w:val="clear" w:color="auto" w:fill="auto"/>
            <w:vAlign w:val="bottom"/>
          </w:tcPr>
          <w:p w14:paraId="58CAD130" w14:textId="7F5FC30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 xml:space="preserve">Mine Permitting </w:t>
            </w:r>
            <w:r w:rsidR="0023634A">
              <w:rPr>
                <w:rFonts w:ascii="Arial" w:hAnsi="Arial" w:cs="Arial"/>
                <w:sz w:val="16"/>
                <w:szCs w:val="16"/>
                <w:lang w:val="en-US"/>
              </w:rPr>
              <w:t>e</w:t>
            </w:r>
            <w:r w:rsidRPr="00A10E12">
              <w:rPr>
                <w:rFonts w:ascii="Arial" w:hAnsi="Arial" w:cs="Arial"/>
                <w:sz w:val="16"/>
                <w:szCs w:val="16"/>
                <w:lang w:val="en-US"/>
              </w:rPr>
              <w:t>xp</w:t>
            </w:r>
            <w:r w:rsidR="0023634A">
              <w:rPr>
                <w:rFonts w:ascii="Arial" w:hAnsi="Arial" w:cs="Arial"/>
                <w:sz w:val="16"/>
                <w:szCs w:val="16"/>
                <w:lang w:val="en-US"/>
              </w:rPr>
              <w:t>ense</w:t>
            </w:r>
          </w:p>
        </w:tc>
        <w:tc>
          <w:tcPr>
            <w:tcW w:w="1080" w:type="dxa"/>
            <w:tcBorders>
              <w:left w:val="nil"/>
              <w:bottom w:val="single" w:sz="4" w:space="0" w:color="auto"/>
              <w:right w:val="nil"/>
            </w:tcBorders>
            <w:shd w:val="clear" w:color="auto" w:fill="auto"/>
            <w:vAlign w:val="bottom"/>
          </w:tcPr>
          <w:p w14:paraId="77C7F7E6"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 xml:space="preserve"> -   </w:t>
            </w:r>
          </w:p>
        </w:tc>
        <w:tc>
          <w:tcPr>
            <w:tcW w:w="1080" w:type="dxa"/>
            <w:tcBorders>
              <w:left w:val="nil"/>
              <w:bottom w:val="single" w:sz="4" w:space="0" w:color="auto"/>
              <w:right w:val="nil"/>
            </w:tcBorders>
            <w:shd w:val="clear" w:color="auto" w:fill="auto"/>
            <w:vAlign w:val="bottom"/>
          </w:tcPr>
          <w:p w14:paraId="4D7E2E1C"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 xml:space="preserve"> - </w:t>
            </w:r>
          </w:p>
        </w:tc>
        <w:tc>
          <w:tcPr>
            <w:tcW w:w="990" w:type="dxa"/>
            <w:tcBorders>
              <w:left w:val="nil"/>
              <w:bottom w:val="single" w:sz="4" w:space="0" w:color="auto"/>
              <w:right w:val="nil"/>
            </w:tcBorders>
            <w:shd w:val="clear" w:color="auto" w:fill="auto"/>
            <w:vAlign w:val="bottom"/>
          </w:tcPr>
          <w:p w14:paraId="7CBBD63D" w14:textId="59EC76DD" w:rsidR="00607E1A" w:rsidRPr="00A10E12" w:rsidRDefault="002F2A6C" w:rsidP="0097553A">
            <w:pPr>
              <w:jc w:val="right"/>
              <w:rPr>
                <w:rFonts w:ascii="Arial" w:hAnsi="Arial" w:cs="Arial"/>
                <w:sz w:val="16"/>
                <w:szCs w:val="16"/>
              </w:rPr>
            </w:pPr>
            <w:r>
              <w:rPr>
                <w:rFonts w:ascii="Arial" w:hAnsi="Arial" w:cs="Arial"/>
                <w:sz w:val="16"/>
                <w:szCs w:val="16"/>
              </w:rPr>
              <w:t>736,415</w:t>
            </w:r>
            <w:r w:rsidR="00607E1A" w:rsidRPr="00A10E12">
              <w:rPr>
                <w:rFonts w:ascii="Arial" w:hAnsi="Arial" w:cs="Arial"/>
                <w:sz w:val="16"/>
                <w:szCs w:val="16"/>
              </w:rPr>
              <w:t xml:space="preserve"> </w:t>
            </w:r>
          </w:p>
        </w:tc>
        <w:tc>
          <w:tcPr>
            <w:tcW w:w="1134" w:type="dxa"/>
            <w:tcBorders>
              <w:left w:val="nil"/>
              <w:bottom w:val="single" w:sz="4" w:space="0" w:color="auto"/>
              <w:right w:val="nil"/>
            </w:tcBorders>
            <w:shd w:val="clear" w:color="auto" w:fill="auto"/>
            <w:vAlign w:val="bottom"/>
          </w:tcPr>
          <w:p w14:paraId="4D16DBD8"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lang w:val="en-US"/>
              </w:rPr>
              <w:t>-</w:t>
            </w:r>
          </w:p>
        </w:tc>
        <w:tc>
          <w:tcPr>
            <w:tcW w:w="936" w:type="dxa"/>
            <w:tcBorders>
              <w:left w:val="nil"/>
              <w:bottom w:val="single" w:sz="4" w:space="0" w:color="auto"/>
              <w:right w:val="nil"/>
            </w:tcBorders>
            <w:vAlign w:val="bottom"/>
          </w:tcPr>
          <w:p w14:paraId="00FCC6B6" w14:textId="77777777" w:rsidR="00607E1A" w:rsidRPr="00A10E12" w:rsidRDefault="00607E1A" w:rsidP="0097553A">
            <w:pPr>
              <w:jc w:val="right"/>
              <w:rPr>
                <w:rFonts w:ascii="Arial" w:hAnsi="Arial" w:cs="Arial"/>
                <w:sz w:val="16"/>
                <w:szCs w:val="16"/>
              </w:rPr>
            </w:pPr>
            <w:r w:rsidRPr="00A10E12">
              <w:rPr>
                <w:rFonts w:ascii="Arial" w:hAnsi="Arial" w:cs="Arial"/>
                <w:sz w:val="16"/>
                <w:szCs w:val="16"/>
              </w:rPr>
              <w:t>6,787</w:t>
            </w:r>
          </w:p>
        </w:tc>
        <w:tc>
          <w:tcPr>
            <w:tcW w:w="1260" w:type="dxa"/>
            <w:tcBorders>
              <w:left w:val="nil"/>
              <w:bottom w:val="single" w:sz="4" w:space="0" w:color="auto"/>
              <w:right w:val="nil"/>
            </w:tcBorders>
            <w:shd w:val="clear" w:color="auto" w:fill="auto"/>
            <w:vAlign w:val="bottom"/>
          </w:tcPr>
          <w:p w14:paraId="7C5FF467" w14:textId="15904298" w:rsidR="00607E1A" w:rsidRPr="00A10E12" w:rsidRDefault="00607E1A" w:rsidP="0097553A">
            <w:pPr>
              <w:jc w:val="right"/>
              <w:rPr>
                <w:rFonts w:ascii="Arial" w:hAnsi="Arial" w:cs="Arial"/>
                <w:b/>
                <w:bCs/>
                <w:sz w:val="16"/>
                <w:szCs w:val="16"/>
              </w:rPr>
            </w:pPr>
            <w:r w:rsidRPr="00A10E12">
              <w:rPr>
                <w:rFonts w:ascii="Arial" w:hAnsi="Arial" w:cs="Arial"/>
                <w:b/>
                <w:bCs/>
                <w:sz w:val="16"/>
                <w:szCs w:val="16"/>
              </w:rPr>
              <w:t xml:space="preserve"> </w:t>
            </w:r>
            <w:r w:rsidR="002F2A6C">
              <w:rPr>
                <w:rFonts w:ascii="Arial" w:hAnsi="Arial" w:cs="Arial"/>
                <w:b/>
                <w:bCs/>
                <w:sz w:val="16"/>
                <w:szCs w:val="16"/>
              </w:rPr>
              <w:t>743,20</w:t>
            </w:r>
            <w:r w:rsidR="00055222">
              <w:rPr>
                <w:rFonts w:ascii="Arial" w:hAnsi="Arial" w:cs="Arial"/>
                <w:b/>
                <w:bCs/>
                <w:sz w:val="16"/>
                <w:szCs w:val="16"/>
              </w:rPr>
              <w:t>2</w:t>
            </w:r>
            <w:r w:rsidRPr="00A10E12">
              <w:rPr>
                <w:rFonts w:ascii="Arial" w:hAnsi="Arial" w:cs="Arial"/>
                <w:b/>
                <w:bCs/>
                <w:sz w:val="16"/>
                <w:szCs w:val="16"/>
              </w:rPr>
              <w:t xml:space="preserve"> </w:t>
            </w:r>
          </w:p>
        </w:tc>
        <w:tc>
          <w:tcPr>
            <w:tcW w:w="1260" w:type="dxa"/>
            <w:tcBorders>
              <w:left w:val="nil"/>
              <w:bottom w:val="single" w:sz="4" w:space="0" w:color="auto"/>
              <w:right w:val="nil"/>
            </w:tcBorders>
            <w:shd w:val="clear" w:color="auto" w:fill="auto"/>
            <w:noWrap/>
            <w:vAlign w:val="bottom"/>
          </w:tcPr>
          <w:p w14:paraId="08300DC8" w14:textId="05397CAA" w:rsidR="00607E1A" w:rsidRPr="00AB42F3" w:rsidRDefault="00607E1A" w:rsidP="0097553A">
            <w:pPr>
              <w:jc w:val="right"/>
              <w:rPr>
                <w:rFonts w:ascii="Arial" w:hAnsi="Arial" w:cs="Arial"/>
                <w:b/>
                <w:sz w:val="16"/>
                <w:szCs w:val="16"/>
              </w:rPr>
            </w:pPr>
            <w:r w:rsidRPr="00AB42F3">
              <w:rPr>
                <w:rFonts w:ascii="Arial" w:hAnsi="Arial" w:cs="Arial"/>
                <w:b/>
                <w:sz w:val="16"/>
                <w:szCs w:val="16"/>
              </w:rPr>
              <w:t xml:space="preserve"> </w:t>
            </w:r>
            <w:r w:rsidR="008D0F09" w:rsidRPr="00AB42F3">
              <w:rPr>
                <w:rFonts w:ascii="Arial" w:hAnsi="Arial" w:cs="Arial"/>
                <w:b/>
                <w:sz w:val="16"/>
                <w:szCs w:val="16"/>
              </w:rPr>
              <w:t>1</w:t>
            </w:r>
            <w:r w:rsidRPr="00AB42F3">
              <w:rPr>
                <w:rFonts w:ascii="Arial" w:hAnsi="Arial" w:cs="Arial"/>
                <w:b/>
                <w:sz w:val="16"/>
                <w:szCs w:val="16"/>
              </w:rPr>
              <w:t>,</w:t>
            </w:r>
            <w:r w:rsidR="008D0F09" w:rsidRPr="00AB42F3">
              <w:rPr>
                <w:rFonts w:ascii="Arial" w:hAnsi="Arial" w:cs="Arial"/>
                <w:b/>
                <w:sz w:val="16"/>
                <w:szCs w:val="16"/>
              </w:rPr>
              <w:t>9</w:t>
            </w:r>
            <w:r w:rsidR="002F2A6C" w:rsidRPr="00AB42F3">
              <w:rPr>
                <w:rFonts w:ascii="Arial" w:hAnsi="Arial" w:cs="Arial"/>
                <w:b/>
                <w:sz w:val="16"/>
                <w:szCs w:val="16"/>
              </w:rPr>
              <w:t>83,0</w:t>
            </w:r>
            <w:r w:rsidR="00B3370C">
              <w:rPr>
                <w:rFonts w:ascii="Arial" w:hAnsi="Arial" w:cs="Arial"/>
                <w:b/>
                <w:sz w:val="16"/>
                <w:szCs w:val="16"/>
              </w:rPr>
              <w:t>60</w:t>
            </w:r>
            <w:r w:rsidRPr="00AB42F3">
              <w:rPr>
                <w:rFonts w:ascii="Arial" w:hAnsi="Arial" w:cs="Arial"/>
                <w:b/>
                <w:sz w:val="16"/>
                <w:szCs w:val="16"/>
              </w:rPr>
              <w:t xml:space="preserve"> </w:t>
            </w:r>
          </w:p>
        </w:tc>
      </w:tr>
      <w:tr w:rsidR="00607E1A" w:rsidRPr="008405CA" w14:paraId="6ED2F342" w14:textId="77777777" w:rsidTr="00A7016F">
        <w:trPr>
          <w:trHeight w:hRule="exact" w:val="261"/>
        </w:trPr>
        <w:tc>
          <w:tcPr>
            <w:tcW w:w="1620" w:type="dxa"/>
            <w:tcBorders>
              <w:top w:val="single" w:sz="4" w:space="0" w:color="auto"/>
              <w:left w:val="nil"/>
              <w:bottom w:val="single" w:sz="4" w:space="0" w:color="auto"/>
              <w:right w:val="nil"/>
            </w:tcBorders>
            <w:shd w:val="clear" w:color="auto" w:fill="auto"/>
            <w:vAlign w:val="bottom"/>
            <w:hideMark/>
          </w:tcPr>
          <w:p w14:paraId="68FAA032"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Total Exploration</w:t>
            </w:r>
          </w:p>
        </w:tc>
        <w:tc>
          <w:tcPr>
            <w:tcW w:w="1080" w:type="dxa"/>
            <w:tcBorders>
              <w:top w:val="single" w:sz="4" w:space="0" w:color="auto"/>
              <w:left w:val="nil"/>
              <w:bottom w:val="single" w:sz="4" w:space="0" w:color="auto"/>
              <w:right w:val="nil"/>
            </w:tcBorders>
            <w:shd w:val="clear" w:color="auto" w:fill="auto"/>
            <w:vAlign w:val="bottom"/>
            <w:hideMark/>
          </w:tcPr>
          <w:p w14:paraId="71E082F1" w14:textId="6934C69D" w:rsidR="00607E1A" w:rsidRPr="00A62B71" w:rsidRDefault="00607E1A" w:rsidP="00A62B71">
            <w:pPr>
              <w:jc w:val="right"/>
              <w:rPr>
                <w:rFonts w:ascii="Arial" w:hAnsi="Arial" w:cs="Arial"/>
                <w:sz w:val="16"/>
                <w:szCs w:val="16"/>
                <w:lang w:val="en-US"/>
              </w:rPr>
            </w:pPr>
            <w:r w:rsidRPr="00A62B71">
              <w:rPr>
                <w:rFonts w:ascii="Arial" w:hAnsi="Arial" w:cs="Arial"/>
                <w:sz w:val="16"/>
                <w:szCs w:val="16"/>
              </w:rPr>
              <w:t xml:space="preserve">  </w:t>
            </w:r>
            <w:r w:rsidR="00432389">
              <w:rPr>
                <w:rFonts w:ascii="Arial" w:hAnsi="Arial" w:cs="Arial"/>
                <w:sz w:val="16"/>
                <w:szCs w:val="16"/>
              </w:rPr>
              <w:t>10</w:t>
            </w:r>
            <w:r w:rsidRPr="00A62B71">
              <w:rPr>
                <w:rFonts w:ascii="Arial" w:hAnsi="Arial" w:cs="Arial"/>
                <w:sz w:val="16"/>
                <w:szCs w:val="16"/>
              </w:rPr>
              <w:t>1,01</w:t>
            </w:r>
            <w:r w:rsidR="00F86AED" w:rsidRPr="00A62B71">
              <w:rPr>
                <w:rFonts w:ascii="Arial" w:hAnsi="Arial" w:cs="Arial"/>
                <w:sz w:val="16"/>
                <w:szCs w:val="16"/>
              </w:rPr>
              <w:t>7</w:t>
            </w:r>
          </w:p>
        </w:tc>
        <w:tc>
          <w:tcPr>
            <w:tcW w:w="1080" w:type="dxa"/>
            <w:tcBorders>
              <w:top w:val="single" w:sz="4" w:space="0" w:color="auto"/>
              <w:left w:val="nil"/>
              <w:bottom w:val="single" w:sz="4" w:space="0" w:color="auto"/>
              <w:right w:val="nil"/>
            </w:tcBorders>
            <w:shd w:val="clear" w:color="auto" w:fill="auto"/>
            <w:vAlign w:val="bottom"/>
            <w:hideMark/>
          </w:tcPr>
          <w:p w14:paraId="4D0C3D27" w14:textId="212984C9" w:rsidR="00607E1A" w:rsidRPr="00A62B71" w:rsidRDefault="006F03B8" w:rsidP="00A62B71">
            <w:pPr>
              <w:jc w:val="right"/>
              <w:rPr>
                <w:rFonts w:ascii="Arial" w:hAnsi="Arial" w:cs="Arial"/>
                <w:sz w:val="16"/>
                <w:szCs w:val="16"/>
                <w:lang w:val="en-US"/>
              </w:rPr>
            </w:pPr>
            <w:r w:rsidRPr="00A62B71">
              <w:rPr>
                <w:rFonts w:ascii="Arial" w:hAnsi="Arial" w:cs="Arial"/>
                <w:sz w:val="16"/>
                <w:szCs w:val="16"/>
              </w:rPr>
              <w:t>214</w:t>
            </w:r>
            <w:r w:rsidR="00607E1A" w:rsidRPr="00A62B71">
              <w:rPr>
                <w:rFonts w:ascii="Arial" w:hAnsi="Arial" w:cs="Arial"/>
                <w:sz w:val="16"/>
                <w:szCs w:val="16"/>
              </w:rPr>
              <w:t>,</w:t>
            </w:r>
            <w:r w:rsidRPr="00A62B71">
              <w:rPr>
                <w:rFonts w:ascii="Arial" w:hAnsi="Arial" w:cs="Arial"/>
                <w:sz w:val="16"/>
                <w:szCs w:val="16"/>
              </w:rPr>
              <w:t>473</w:t>
            </w:r>
          </w:p>
        </w:tc>
        <w:tc>
          <w:tcPr>
            <w:tcW w:w="990" w:type="dxa"/>
            <w:tcBorders>
              <w:top w:val="single" w:sz="4" w:space="0" w:color="auto"/>
              <w:left w:val="nil"/>
              <w:bottom w:val="single" w:sz="4" w:space="0" w:color="auto"/>
              <w:right w:val="nil"/>
            </w:tcBorders>
            <w:shd w:val="clear" w:color="auto" w:fill="auto"/>
            <w:vAlign w:val="bottom"/>
            <w:hideMark/>
          </w:tcPr>
          <w:p w14:paraId="6992E6B2" w14:textId="70C914E7" w:rsidR="00607E1A" w:rsidRPr="00A62B71" w:rsidRDefault="00607E1A" w:rsidP="00A62B71">
            <w:pPr>
              <w:jc w:val="right"/>
              <w:rPr>
                <w:rFonts w:ascii="Arial" w:hAnsi="Arial" w:cs="Arial"/>
                <w:sz w:val="16"/>
                <w:szCs w:val="16"/>
              </w:rPr>
            </w:pPr>
            <w:r w:rsidRPr="00A62B71">
              <w:rPr>
                <w:rFonts w:ascii="Arial" w:hAnsi="Arial" w:cs="Arial"/>
                <w:sz w:val="16"/>
                <w:szCs w:val="16"/>
              </w:rPr>
              <w:t xml:space="preserve"> </w:t>
            </w:r>
            <w:r w:rsidR="002F2A6C">
              <w:rPr>
                <w:rFonts w:ascii="Arial" w:hAnsi="Arial" w:cs="Arial"/>
                <w:sz w:val="16"/>
                <w:szCs w:val="16"/>
              </w:rPr>
              <w:t>912,19</w:t>
            </w:r>
            <w:r w:rsidR="00C5277E">
              <w:rPr>
                <w:rFonts w:ascii="Arial" w:hAnsi="Arial" w:cs="Arial"/>
                <w:sz w:val="16"/>
                <w:szCs w:val="16"/>
              </w:rPr>
              <w:t>1</w:t>
            </w:r>
            <w:r w:rsidRPr="00A62B71">
              <w:rPr>
                <w:rFonts w:ascii="Arial" w:hAnsi="Arial" w:cs="Arial"/>
                <w:sz w:val="16"/>
                <w:szCs w:val="16"/>
              </w:rPr>
              <w:t xml:space="preserve"> </w:t>
            </w:r>
          </w:p>
        </w:tc>
        <w:tc>
          <w:tcPr>
            <w:tcW w:w="1134" w:type="dxa"/>
            <w:tcBorders>
              <w:top w:val="single" w:sz="4" w:space="0" w:color="auto"/>
              <w:left w:val="nil"/>
              <w:bottom w:val="single" w:sz="4" w:space="0" w:color="auto"/>
              <w:right w:val="nil"/>
            </w:tcBorders>
            <w:shd w:val="clear" w:color="auto" w:fill="auto"/>
            <w:vAlign w:val="bottom"/>
            <w:hideMark/>
          </w:tcPr>
          <w:p w14:paraId="43A91939" w14:textId="7632434B" w:rsidR="00607E1A" w:rsidRPr="00A62B71" w:rsidRDefault="00607E1A" w:rsidP="00A62B71">
            <w:pPr>
              <w:jc w:val="right"/>
              <w:rPr>
                <w:rFonts w:ascii="Arial" w:hAnsi="Arial" w:cs="Arial"/>
                <w:sz w:val="16"/>
                <w:szCs w:val="16"/>
                <w:lang w:val="en-US"/>
              </w:rPr>
            </w:pPr>
            <w:r w:rsidRPr="00A62B71">
              <w:rPr>
                <w:rFonts w:ascii="Arial" w:hAnsi="Arial" w:cs="Arial"/>
                <w:sz w:val="16"/>
                <w:szCs w:val="16"/>
              </w:rPr>
              <w:t xml:space="preserve"> </w:t>
            </w:r>
            <w:r w:rsidR="006F03B8" w:rsidRPr="00A62B71">
              <w:rPr>
                <w:rFonts w:ascii="Arial" w:hAnsi="Arial" w:cs="Arial"/>
                <w:sz w:val="16"/>
                <w:szCs w:val="16"/>
              </w:rPr>
              <w:t>11</w:t>
            </w:r>
            <w:r w:rsidRPr="00A62B71">
              <w:rPr>
                <w:rFonts w:ascii="Arial" w:hAnsi="Arial" w:cs="Arial"/>
                <w:sz w:val="16"/>
                <w:szCs w:val="16"/>
              </w:rPr>
              <w:t>,</w:t>
            </w:r>
            <w:r w:rsidR="006F03B8" w:rsidRPr="00A62B71">
              <w:rPr>
                <w:rFonts w:ascii="Arial" w:hAnsi="Arial" w:cs="Arial"/>
                <w:sz w:val="16"/>
                <w:szCs w:val="16"/>
              </w:rPr>
              <w:t>20</w:t>
            </w:r>
            <w:r w:rsidR="00F86AED" w:rsidRPr="00A62B71">
              <w:rPr>
                <w:rFonts w:ascii="Arial" w:hAnsi="Arial" w:cs="Arial"/>
                <w:sz w:val="16"/>
                <w:szCs w:val="16"/>
              </w:rPr>
              <w:t>6</w:t>
            </w:r>
            <w:r w:rsidRPr="00A62B71">
              <w:rPr>
                <w:rFonts w:ascii="Arial" w:hAnsi="Arial" w:cs="Arial"/>
                <w:sz w:val="16"/>
                <w:szCs w:val="16"/>
              </w:rPr>
              <w:t xml:space="preserve"> </w:t>
            </w:r>
          </w:p>
        </w:tc>
        <w:tc>
          <w:tcPr>
            <w:tcW w:w="936" w:type="dxa"/>
            <w:tcBorders>
              <w:top w:val="single" w:sz="4" w:space="0" w:color="auto"/>
              <w:left w:val="nil"/>
              <w:bottom w:val="single" w:sz="4" w:space="0" w:color="auto"/>
              <w:right w:val="nil"/>
            </w:tcBorders>
            <w:vAlign w:val="bottom"/>
          </w:tcPr>
          <w:p w14:paraId="49398263" w14:textId="113A02B5" w:rsidR="00607E1A" w:rsidRPr="00A62B71" w:rsidRDefault="00607E1A" w:rsidP="00A62B71">
            <w:pPr>
              <w:jc w:val="right"/>
              <w:rPr>
                <w:rFonts w:ascii="Arial" w:hAnsi="Arial" w:cs="Arial"/>
                <w:sz w:val="16"/>
                <w:szCs w:val="16"/>
              </w:rPr>
            </w:pPr>
            <w:r w:rsidRPr="00A62B71">
              <w:rPr>
                <w:rFonts w:ascii="Arial" w:hAnsi="Arial" w:cs="Arial"/>
                <w:sz w:val="16"/>
                <w:szCs w:val="16"/>
              </w:rPr>
              <w:t>27,12</w:t>
            </w:r>
            <w:r w:rsidR="00F86AED" w:rsidRPr="00A62B71">
              <w:rPr>
                <w:rFonts w:ascii="Arial" w:hAnsi="Arial" w:cs="Arial"/>
                <w:sz w:val="16"/>
                <w:szCs w:val="16"/>
              </w:rPr>
              <w:t>1</w:t>
            </w:r>
          </w:p>
        </w:tc>
        <w:tc>
          <w:tcPr>
            <w:tcW w:w="1260" w:type="dxa"/>
            <w:tcBorders>
              <w:top w:val="single" w:sz="4" w:space="0" w:color="auto"/>
              <w:left w:val="nil"/>
              <w:bottom w:val="single" w:sz="4" w:space="0" w:color="auto"/>
              <w:right w:val="nil"/>
            </w:tcBorders>
            <w:shd w:val="clear" w:color="auto" w:fill="auto"/>
            <w:vAlign w:val="bottom"/>
            <w:hideMark/>
          </w:tcPr>
          <w:p w14:paraId="3E4BF245" w14:textId="48BCE019" w:rsidR="00607E1A" w:rsidRPr="00A62B71" w:rsidRDefault="00607E1A" w:rsidP="00A62B71">
            <w:pPr>
              <w:jc w:val="right"/>
              <w:rPr>
                <w:rFonts w:ascii="Arial" w:hAnsi="Arial" w:cs="Arial"/>
                <w:b/>
                <w:bCs/>
                <w:color w:val="000000"/>
                <w:sz w:val="16"/>
                <w:szCs w:val="16"/>
                <w:lang w:val="en-US"/>
              </w:rPr>
            </w:pPr>
            <w:r w:rsidRPr="00A62B71">
              <w:rPr>
                <w:rFonts w:ascii="Arial" w:hAnsi="Arial" w:cs="Arial"/>
                <w:b/>
                <w:bCs/>
                <w:sz w:val="16"/>
                <w:szCs w:val="16"/>
              </w:rPr>
              <w:t xml:space="preserve"> </w:t>
            </w:r>
            <w:r w:rsidR="006F03B8" w:rsidRPr="00A62B71">
              <w:rPr>
                <w:rFonts w:ascii="Arial" w:hAnsi="Arial" w:cs="Arial"/>
                <w:b/>
                <w:bCs/>
                <w:sz w:val="16"/>
                <w:szCs w:val="16"/>
              </w:rPr>
              <w:t>1,2</w:t>
            </w:r>
            <w:r w:rsidR="00432389">
              <w:rPr>
                <w:rFonts w:ascii="Arial" w:hAnsi="Arial" w:cs="Arial"/>
                <w:b/>
                <w:bCs/>
                <w:sz w:val="16"/>
                <w:szCs w:val="16"/>
              </w:rPr>
              <w:t>6</w:t>
            </w:r>
            <w:r w:rsidR="002F2A6C">
              <w:rPr>
                <w:rFonts w:ascii="Arial" w:hAnsi="Arial" w:cs="Arial"/>
                <w:b/>
                <w:bCs/>
                <w:sz w:val="16"/>
                <w:szCs w:val="16"/>
              </w:rPr>
              <w:t>6,008</w:t>
            </w:r>
            <w:r w:rsidRPr="00A62B71">
              <w:rPr>
                <w:rFonts w:ascii="Arial" w:hAnsi="Arial" w:cs="Arial"/>
                <w:b/>
                <w:bCs/>
                <w:sz w:val="16"/>
                <w:szCs w:val="16"/>
              </w:rPr>
              <w:t xml:space="preserve"> </w:t>
            </w:r>
          </w:p>
        </w:tc>
        <w:tc>
          <w:tcPr>
            <w:tcW w:w="1260" w:type="dxa"/>
            <w:tcBorders>
              <w:top w:val="single" w:sz="4" w:space="0" w:color="auto"/>
              <w:left w:val="nil"/>
              <w:bottom w:val="single" w:sz="4" w:space="0" w:color="auto"/>
              <w:right w:val="nil"/>
            </w:tcBorders>
            <w:shd w:val="clear" w:color="auto" w:fill="auto"/>
            <w:noWrap/>
            <w:vAlign w:val="bottom"/>
            <w:hideMark/>
          </w:tcPr>
          <w:p w14:paraId="029A26E6" w14:textId="6B25A033" w:rsidR="00607E1A" w:rsidRPr="00AB42F3" w:rsidRDefault="00607E1A" w:rsidP="00A62B71">
            <w:pPr>
              <w:jc w:val="right"/>
              <w:rPr>
                <w:rFonts w:ascii="Arial" w:hAnsi="Arial" w:cs="Arial"/>
                <w:b/>
                <w:color w:val="000000"/>
                <w:sz w:val="16"/>
                <w:szCs w:val="16"/>
                <w:lang w:val="en-US"/>
              </w:rPr>
            </w:pPr>
            <w:r w:rsidRPr="00AB42F3">
              <w:rPr>
                <w:rFonts w:ascii="Arial" w:hAnsi="Arial" w:cs="Arial"/>
                <w:b/>
                <w:sz w:val="16"/>
                <w:szCs w:val="16"/>
              </w:rPr>
              <w:t xml:space="preserve"> 2</w:t>
            </w:r>
            <w:r w:rsidR="00AD3BCD" w:rsidRPr="00AB42F3">
              <w:rPr>
                <w:rFonts w:ascii="Arial" w:hAnsi="Arial" w:cs="Arial"/>
                <w:b/>
                <w:sz w:val="16"/>
                <w:szCs w:val="16"/>
              </w:rPr>
              <w:t>3</w:t>
            </w:r>
            <w:r w:rsidRPr="00AB42F3">
              <w:rPr>
                <w:rFonts w:ascii="Arial" w:hAnsi="Arial" w:cs="Arial"/>
                <w:b/>
                <w:sz w:val="16"/>
                <w:szCs w:val="16"/>
              </w:rPr>
              <w:t>,</w:t>
            </w:r>
            <w:r w:rsidR="00B3370C">
              <w:rPr>
                <w:rFonts w:ascii="Arial" w:hAnsi="Arial" w:cs="Arial"/>
                <w:b/>
                <w:sz w:val="16"/>
                <w:szCs w:val="16"/>
              </w:rPr>
              <w:t>2</w:t>
            </w:r>
            <w:r w:rsidR="00432389">
              <w:rPr>
                <w:rFonts w:ascii="Arial" w:hAnsi="Arial" w:cs="Arial"/>
                <w:b/>
                <w:sz w:val="16"/>
                <w:szCs w:val="16"/>
              </w:rPr>
              <w:t>8</w:t>
            </w:r>
            <w:r w:rsidR="002F2A6C" w:rsidRPr="00AB42F3">
              <w:rPr>
                <w:rFonts w:ascii="Arial" w:hAnsi="Arial" w:cs="Arial"/>
                <w:b/>
                <w:sz w:val="16"/>
                <w:szCs w:val="16"/>
              </w:rPr>
              <w:t>0,014</w:t>
            </w:r>
          </w:p>
        </w:tc>
      </w:tr>
      <w:tr w:rsidR="00607E1A" w:rsidRPr="008405CA" w14:paraId="11A763BE" w14:textId="77777777" w:rsidTr="00A7016F">
        <w:trPr>
          <w:trHeight w:hRule="exact" w:val="261"/>
        </w:trPr>
        <w:tc>
          <w:tcPr>
            <w:tcW w:w="1620" w:type="dxa"/>
            <w:tcBorders>
              <w:top w:val="single" w:sz="4" w:space="0" w:color="auto"/>
              <w:left w:val="nil"/>
              <w:bottom w:val="single" w:sz="4" w:space="0" w:color="000000"/>
              <w:right w:val="nil"/>
            </w:tcBorders>
            <w:shd w:val="clear" w:color="auto" w:fill="auto"/>
            <w:vAlign w:val="bottom"/>
            <w:hideMark/>
          </w:tcPr>
          <w:p w14:paraId="2DCB238A" w14:textId="41D6CB42"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Other costs</w:t>
            </w:r>
          </w:p>
        </w:tc>
        <w:tc>
          <w:tcPr>
            <w:tcW w:w="1080" w:type="dxa"/>
            <w:tcBorders>
              <w:top w:val="single" w:sz="4" w:space="0" w:color="auto"/>
              <w:left w:val="nil"/>
              <w:bottom w:val="nil"/>
              <w:right w:val="nil"/>
            </w:tcBorders>
            <w:shd w:val="clear" w:color="auto" w:fill="auto"/>
            <w:noWrap/>
            <w:vAlign w:val="bottom"/>
            <w:hideMark/>
          </w:tcPr>
          <w:p w14:paraId="651F3993" w14:textId="77777777" w:rsidR="00607E1A" w:rsidRPr="00A62B71" w:rsidRDefault="00607E1A" w:rsidP="00A62B71">
            <w:pPr>
              <w:jc w:val="right"/>
              <w:rPr>
                <w:rFonts w:ascii="Arial" w:hAnsi="Arial" w:cs="Arial"/>
                <w:color w:val="000000"/>
                <w:sz w:val="16"/>
                <w:szCs w:val="16"/>
                <w:lang w:val="en-US"/>
              </w:rPr>
            </w:pPr>
            <w:r w:rsidRPr="00A62B71">
              <w:rPr>
                <w:rFonts w:ascii="Arial" w:hAnsi="Arial" w:cs="Arial"/>
                <w:sz w:val="16"/>
                <w:szCs w:val="16"/>
                <w:lang w:val="en-US"/>
              </w:rPr>
              <w:t>-</w:t>
            </w:r>
          </w:p>
        </w:tc>
        <w:tc>
          <w:tcPr>
            <w:tcW w:w="1080" w:type="dxa"/>
            <w:tcBorders>
              <w:top w:val="single" w:sz="4" w:space="0" w:color="auto"/>
              <w:left w:val="nil"/>
              <w:bottom w:val="single" w:sz="4" w:space="0" w:color="000000"/>
              <w:right w:val="nil"/>
            </w:tcBorders>
            <w:shd w:val="clear" w:color="auto" w:fill="auto"/>
            <w:noWrap/>
            <w:vAlign w:val="bottom"/>
            <w:hideMark/>
          </w:tcPr>
          <w:p w14:paraId="79F0B170" w14:textId="77777777" w:rsidR="00607E1A" w:rsidRPr="00A62B71" w:rsidRDefault="00607E1A" w:rsidP="00A62B71">
            <w:pPr>
              <w:jc w:val="right"/>
              <w:rPr>
                <w:rFonts w:ascii="Arial" w:hAnsi="Arial" w:cs="Arial"/>
                <w:color w:val="000000"/>
                <w:sz w:val="16"/>
                <w:szCs w:val="16"/>
                <w:lang w:val="en-US"/>
              </w:rPr>
            </w:pPr>
            <w:r w:rsidRPr="00A62B71">
              <w:rPr>
                <w:rFonts w:ascii="Arial" w:hAnsi="Arial" w:cs="Arial"/>
                <w:sz w:val="16"/>
                <w:szCs w:val="16"/>
                <w:lang w:val="en-US"/>
              </w:rPr>
              <w:t>-</w:t>
            </w:r>
          </w:p>
        </w:tc>
        <w:tc>
          <w:tcPr>
            <w:tcW w:w="990" w:type="dxa"/>
            <w:tcBorders>
              <w:top w:val="single" w:sz="4" w:space="0" w:color="auto"/>
              <w:left w:val="nil"/>
              <w:bottom w:val="single" w:sz="4" w:space="0" w:color="auto"/>
              <w:right w:val="nil"/>
            </w:tcBorders>
            <w:shd w:val="clear" w:color="auto" w:fill="auto"/>
            <w:vAlign w:val="bottom"/>
            <w:hideMark/>
          </w:tcPr>
          <w:p w14:paraId="21D40B41" w14:textId="77777777" w:rsidR="00607E1A" w:rsidRPr="00A62B71" w:rsidRDefault="00607E1A" w:rsidP="00A62B71">
            <w:pPr>
              <w:jc w:val="right"/>
              <w:rPr>
                <w:rFonts w:ascii="Arial" w:hAnsi="Arial" w:cs="Arial"/>
                <w:sz w:val="16"/>
                <w:szCs w:val="16"/>
                <w:lang w:val="en-US"/>
              </w:rPr>
            </w:pPr>
            <w:r w:rsidRPr="00A62B71">
              <w:rPr>
                <w:rFonts w:ascii="Arial" w:hAnsi="Arial" w:cs="Arial"/>
                <w:sz w:val="16"/>
                <w:szCs w:val="16"/>
              </w:rPr>
              <w:t xml:space="preserve">-   </w:t>
            </w:r>
          </w:p>
        </w:tc>
        <w:tc>
          <w:tcPr>
            <w:tcW w:w="1134" w:type="dxa"/>
            <w:tcBorders>
              <w:top w:val="single" w:sz="4" w:space="0" w:color="auto"/>
              <w:left w:val="nil"/>
              <w:bottom w:val="single" w:sz="4" w:space="0" w:color="000000"/>
              <w:right w:val="nil"/>
            </w:tcBorders>
            <w:shd w:val="clear" w:color="auto" w:fill="auto"/>
            <w:noWrap/>
            <w:vAlign w:val="bottom"/>
            <w:hideMark/>
          </w:tcPr>
          <w:p w14:paraId="5EC06FF0" w14:textId="77777777" w:rsidR="00607E1A" w:rsidRPr="00A62B71" w:rsidRDefault="00607E1A" w:rsidP="00A62B71">
            <w:pPr>
              <w:jc w:val="right"/>
              <w:rPr>
                <w:rFonts w:ascii="Arial" w:hAnsi="Arial" w:cs="Arial"/>
                <w:color w:val="000000"/>
                <w:sz w:val="16"/>
                <w:szCs w:val="16"/>
                <w:lang w:val="en-US"/>
              </w:rPr>
            </w:pPr>
            <w:r w:rsidRPr="00A62B71">
              <w:rPr>
                <w:rFonts w:ascii="Arial" w:hAnsi="Arial" w:cs="Arial"/>
                <w:sz w:val="16"/>
                <w:szCs w:val="16"/>
              </w:rPr>
              <w:t xml:space="preserve"> -   </w:t>
            </w:r>
          </w:p>
        </w:tc>
        <w:tc>
          <w:tcPr>
            <w:tcW w:w="936" w:type="dxa"/>
            <w:tcBorders>
              <w:top w:val="single" w:sz="4" w:space="0" w:color="auto"/>
              <w:left w:val="nil"/>
              <w:bottom w:val="single" w:sz="4" w:space="0" w:color="000000"/>
              <w:right w:val="nil"/>
            </w:tcBorders>
            <w:vAlign w:val="bottom"/>
          </w:tcPr>
          <w:p w14:paraId="1793344A" w14:textId="77777777" w:rsidR="00607E1A" w:rsidRPr="00A62B71" w:rsidRDefault="00607E1A" w:rsidP="00A62B71">
            <w:pPr>
              <w:jc w:val="right"/>
              <w:rPr>
                <w:rFonts w:ascii="Arial" w:hAnsi="Arial" w:cs="Arial"/>
                <w:sz w:val="16"/>
                <w:szCs w:val="16"/>
              </w:rPr>
            </w:pPr>
            <w:r w:rsidRPr="00A62B71">
              <w:rPr>
                <w:rFonts w:ascii="Arial" w:hAnsi="Arial" w:cs="Arial"/>
                <w:sz w:val="16"/>
                <w:szCs w:val="16"/>
              </w:rPr>
              <w:t>-</w:t>
            </w:r>
          </w:p>
        </w:tc>
        <w:tc>
          <w:tcPr>
            <w:tcW w:w="1260" w:type="dxa"/>
            <w:tcBorders>
              <w:top w:val="single" w:sz="4" w:space="0" w:color="auto"/>
              <w:left w:val="nil"/>
              <w:bottom w:val="single" w:sz="4" w:space="0" w:color="000000"/>
              <w:right w:val="nil"/>
            </w:tcBorders>
            <w:shd w:val="clear" w:color="auto" w:fill="auto"/>
            <w:vAlign w:val="bottom"/>
            <w:hideMark/>
          </w:tcPr>
          <w:p w14:paraId="0549B628" w14:textId="77777777" w:rsidR="00607E1A" w:rsidRPr="00A62B71" w:rsidRDefault="00607E1A" w:rsidP="00A62B71">
            <w:pPr>
              <w:jc w:val="right"/>
              <w:rPr>
                <w:rFonts w:ascii="Arial" w:hAnsi="Arial" w:cs="Arial"/>
                <w:b/>
                <w:bCs/>
                <w:color w:val="000000"/>
                <w:sz w:val="16"/>
                <w:szCs w:val="16"/>
                <w:lang w:val="en-US"/>
              </w:rPr>
            </w:pPr>
            <w:r w:rsidRPr="00A62B71">
              <w:rPr>
                <w:rFonts w:ascii="Arial" w:hAnsi="Arial" w:cs="Arial"/>
                <w:b/>
                <w:bCs/>
                <w:sz w:val="16"/>
                <w:szCs w:val="16"/>
              </w:rPr>
              <w:t xml:space="preserve">-   </w:t>
            </w:r>
          </w:p>
        </w:tc>
        <w:tc>
          <w:tcPr>
            <w:tcW w:w="1260" w:type="dxa"/>
            <w:tcBorders>
              <w:top w:val="single" w:sz="4" w:space="0" w:color="auto"/>
              <w:left w:val="nil"/>
              <w:bottom w:val="single" w:sz="4" w:space="0" w:color="000000"/>
              <w:right w:val="nil"/>
            </w:tcBorders>
            <w:shd w:val="clear" w:color="auto" w:fill="auto"/>
            <w:noWrap/>
            <w:vAlign w:val="bottom"/>
            <w:hideMark/>
          </w:tcPr>
          <w:p w14:paraId="77DDC3A4" w14:textId="77777777" w:rsidR="00607E1A" w:rsidRPr="00AB42F3" w:rsidRDefault="00607E1A" w:rsidP="00A62B71">
            <w:pPr>
              <w:jc w:val="right"/>
              <w:rPr>
                <w:rFonts w:ascii="Arial" w:hAnsi="Arial" w:cs="Arial"/>
                <w:b/>
                <w:color w:val="000000"/>
                <w:sz w:val="16"/>
                <w:szCs w:val="16"/>
                <w:lang w:val="en-US"/>
              </w:rPr>
            </w:pPr>
            <w:r w:rsidRPr="00AB42F3">
              <w:rPr>
                <w:rFonts w:ascii="Arial" w:hAnsi="Arial" w:cs="Arial"/>
                <w:b/>
                <w:sz w:val="16"/>
                <w:szCs w:val="16"/>
              </w:rPr>
              <w:t xml:space="preserve"> 21,133,497 </w:t>
            </w:r>
          </w:p>
        </w:tc>
      </w:tr>
      <w:tr w:rsidR="00607E1A" w:rsidRPr="008405CA" w14:paraId="4816C389" w14:textId="77777777" w:rsidTr="00A7016F">
        <w:trPr>
          <w:trHeight w:hRule="exact" w:val="261"/>
        </w:trPr>
        <w:tc>
          <w:tcPr>
            <w:tcW w:w="1620" w:type="dxa"/>
            <w:tcBorders>
              <w:top w:val="nil"/>
              <w:left w:val="nil"/>
              <w:bottom w:val="single" w:sz="4" w:space="0" w:color="000000"/>
              <w:right w:val="nil"/>
            </w:tcBorders>
            <w:shd w:val="clear" w:color="auto" w:fill="auto"/>
            <w:vAlign w:val="bottom"/>
            <w:hideMark/>
          </w:tcPr>
          <w:p w14:paraId="5DAA188F" w14:textId="77777777" w:rsidR="00607E1A" w:rsidRPr="00A10E12" w:rsidRDefault="00607E1A" w:rsidP="0097553A">
            <w:pPr>
              <w:rPr>
                <w:rFonts w:ascii="Arial" w:hAnsi="Arial" w:cs="Arial"/>
                <w:sz w:val="16"/>
                <w:szCs w:val="16"/>
                <w:lang w:val="en-US"/>
              </w:rPr>
            </w:pPr>
            <w:r w:rsidRPr="00A10E12">
              <w:rPr>
                <w:rFonts w:ascii="Arial" w:hAnsi="Arial" w:cs="Arial"/>
                <w:b/>
                <w:bCs/>
                <w:sz w:val="16"/>
                <w:szCs w:val="16"/>
                <w:lang w:val="en-US"/>
              </w:rPr>
              <w:t>Total</w:t>
            </w:r>
          </w:p>
        </w:tc>
        <w:tc>
          <w:tcPr>
            <w:tcW w:w="1080" w:type="dxa"/>
            <w:tcBorders>
              <w:top w:val="single" w:sz="4" w:space="0" w:color="000000"/>
              <w:left w:val="nil"/>
              <w:bottom w:val="single" w:sz="4" w:space="0" w:color="000000"/>
              <w:right w:val="nil"/>
            </w:tcBorders>
            <w:shd w:val="clear" w:color="auto" w:fill="auto"/>
            <w:vAlign w:val="bottom"/>
            <w:hideMark/>
          </w:tcPr>
          <w:p w14:paraId="617D0A0D" w14:textId="40913FA1" w:rsidR="00607E1A" w:rsidRPr="00A62B71" w:rsidRDefault="00607E1A" w:rsidP="00A62B71">
            <w:pPr>
              <w:jc w:val="right"/>
              <w:rPr>
                <w:rFonts w:ascii="Arial" w:hAnsi="Arial" w:cs="Arial"/>
                <w:sz w:val="16"/>
                <w:szCs w:val="16"/>
                <w:lang w:val="en-US"/>
              </w:rPr>
            </w:pPr>
            <w:r w:rsidRPr="00A62B71">
              <w:rPr>
                <w:rFonts w:ascii="Arial" w:hAnsi="Arial" w:cs="Arial"/>
                <w:sz w:val="16"/>
                <w:szCs w:val="16"/>
              </w:rPr>
              <w:t xml:space="preserve">  </w:t>
            </w:r>
            <w:r w:rsidR="00A173C5">
              <w:rPr>
                <w:rFonts w:ascii="Arial" w:hAnsi="Arial" w:cs="Arial"/>
                <w:sz w:val="16"/>
                <w:szCs w:val="16"/>
              </w:rPr>
              <w:t>5</w:t>
            </w:r>
            <w:r w:rsidRPr="00A62B71">
              <w:rPr>
                <w:rFonts w:ascii="Arial" w:hAnsi="Arial" w:cs="Arial"/>
                <w:sz w:val="16"/>
                <w:szCs w:val="16"/>
              </w:rPr>
              <w:t>1,01</w:t>
            </w:r>
            <w:r w:rsidR="00F86AED" w:rsidRPr="00A62B71">
              <w:rPr>
                <w:rFonts w:ascii="Arial" w:hAnsi="Arial" w:cs="Arial"/>
                <w:sz w:val="16"/>
                <w:szCs w:val="16"/>
              </w:rPr>
              <w:t>7</w:t>
            </w:r>
          </w:p>
        </w:tc>
        <w:tc>
          <w:tcPr>
            <w:tcW w:w="1080" w:type="dxa"/>
            <w:tcBorders>
              <w:top w:val="nil"/>
              <w:left w:val="nil"/>
              <w:bottom w:val="single" w:sz="4" w:space="0" w:color="000000"/>
              <w:right w:val="nil"/>
            </w:tcBorders>
            <w:shd w:val="clear" w:color="auto" w:fill="auto"/>
            <w:vAlign w:val="bottom"/>
            <w:hideMark/>
          </w:tcPr>
          <w:p w14:paraId="14F78857" w14:textId="74F5BF09" w:rsidR="00607E1A" w:rsidRPr="00A62B71" w:rsidRDefault="00607E1A" w:rsidP="00A62B71">
            <w:pPr>
              <w:jc w:val="right"/>
              <w:rPr>
                <w:rFonts w:ascii="Arial" w:hAnsi="Arial" w:cs="Arial"/>
                <w:sz w:val="16"/>
                <w:szCs w:val="16"/>
                <w:lang w:val="en-US"/>
              </w:rPr>
            </w:pPr>
            <w:r w:rsidRPr="00A62B71">
              <w:rPr>
                <w:rFonts w:ascii="Arial" w:hAnsi="Arial" w:cs="Arial"/>
                <w:sz w:val="16"/>
                <w:szCs w:val="16"/>
              </w:rPr>
              <w:t xml:space="preserve">  </w:t>
            </w:r>
            <w:r w:rsidR="006F03B8" w:rsidRPr="00A62B71">
              <w:rPr>
                <w:rFonts w:ascii="Arial" w:hAnsi="Arial" w:cs="Arial"/>
                <w:sz w:val="16"/>
                <w:szCs w:val="16"/>
              </w:rPr>
              <w:t>214</w:t>
            </w:r>
            <w:r w:rsidRPr="00A62B71">
              <w:rPr>
                <w:rFonts w:ascii="Arial" w:hAnsi="Arial" w:cs="Arial"/>
                <w:sz w:val="16"/>
                <w:szCs w:val="16"/>
              </w:rPr>
              <w:t>,</w:t>
            </w:r>
            <w:r w:rsidR="006F03B8" w:rsidRPr="00A62B71">
              <w:rPr>
                <w:rFonts w:ascii="Arial" w:hAnsi="Arial" w:cs="Arial"/>
                <w:sz w:val="16"/>
                <w:szCs w:val="16"/>
              </w:rPr>
              <w:t>473</w:t>
            </w:r>
          </w:p>
        </w:tc>
        <w:tc>
          <w:tcPr>
            <w:tcW w:w="990" w:type="dxa"/>
            <w:tcBorders>
              <w:top w:val="single" w:sz="4" w:space="0" w:color="auto"/>
              <w:left w:val="nil"/>
              <w:bottom w:val="single" w:sz="4" w:space="0" w:color="auto"/>
              <w:right w:val="nil"/>
            </w:tcBorders>
            <w:shd w:val="clear" w:color="auto" w:fill="auto"/>
            <w:vAlign w:val="bottom"/>
            <w:hideMark/>
          </w:tcPr>
          <w:p w14:paraId="77362F7E" w14:textId="35B71ED5" w:rsidR="00607E1A" w:rsidRPr="00A62B71" w:rsidRDefault="00607E1A" w:rsidP="00A62B71">
            <w:pPr>
              <w:jc w:val="right"/>
              <w:rPr>
                <w:rFonts w:ascii="Arial" w:hAnsi="Arial" w:cs="Arial"/>
                <w:sz w:val="16"/>
                <w:szCs w:val="16"/>
              </w:rPr>
            </w:pPr>
            <w:r w:rsidRPr="00A62B71">
              <w:rPr>
                <w:rFonts w:ascii="Arial" w:hAnsi="Arial" w:cs="Arial"/>
                <w:sz w:val="16"/>
                <w:szCs w:val="16"/>
              </w:rPr>
              <w:t xml:space="preserve"> </w:t>
            </w:r>
            <w:r w:rsidR="002F2A6C">
              <w:rPr>
                <w:rFonts w:ascii="Arial" w:hAnsi="Arial" w:cs="Arial"/>
                <w:sz w:val="16"/>
                <w:szCs w:val="16"/>
              </w:rPr>
              <w:t>912,192</w:t>
            </w:r>
            <w:r w:rsidRPr="00A62B71">
              <w:rPr>
                <w:rFonts w:ascii="Arial" w:hAnsi="Arial" w:cs="Arial"/>
                <w:sz w:val="16"/>
                <w:szCs w:val="16"/>
              </w:rPr>
              <w:t xml:space="preserve"> </w:t>
            </w:r>
          </w:p>
        </w:tc>
        <w:tc>
          <w:tcPr>
            <w:tcW w:w="1134" w:type="dxa"/>
            <w:tcBorders>
              <w:top w:val="nil"/>
              <w:left w:val="nil"/>
              <w:bottom w:val="single" w:sz="4" w:space="0" w:color="000000"/>
              <w:right w:val="nil"/>
            </w:tcBorders>
            <w:shd w:val="clear" w:color="auto" w:fill="auto"/>
            <w:vAlign w:val="bottom"/>
            <w:hideMark/>
          </w:tcPr>
          <w:p w14:paraId="74C8F652" w14:textId="7135998A" w:rsidR="00607E1A" w:rsidRPr="00A62B71" w:rsidRDefault="00607E1A" w:rsidP="00A62B71">
            <w:pPr>
              <w:jc w:val="right"/>
              <w:rPr>
                <w:rFonts w:ascii="Arial" w:hAnsi="Arial" w:cs="Arial"/>
                <w:sz w:val="16"/>
                <w:szCs w:val="16"/>
              </w:rPr>
            </w:pPr>
            <w:r w:rsidRPr="00A62B71">
              <w:rPr>
                <w:rFonts w:ascii="Arial" w:hAnsi="Arial" w:cs="Arial"/>
                <w:sz w:val="16"/>
                <w:szCs w:val="16"/>
              </w:rPr>
              <w:t xml:space="preserve"> </w:t>
            </w:r>
            <w:r w:rsidR="006F03B8" w:rsidRPr="00A62B71">
              <w:rPr>
                <w:rFonts w:ascii="Arial" w:hAnsi="Arial" w:cs="Arial"/>
                <w:sz w:val="16"/>
                <w:szCs w:val="16"/>
              </w:rPr>
              <w:t>11</w:t>
            </w:r>
            <w:r w:rsidRPr="00A62B71">
              <w:rPr>
                <w:rFonts w:ascii="Arial" w:hAnsi="Arial" w:cs="Arial"/>
                <w:sz w:val="16"/>
                <w:szCs w:val="16"/>
              </w:rPr>
              <w:t>,</w:t>
            </w:r>
            <w:r w:rsidR="006F03B8" w:rsidRPr="00A62B71">
              <w:rPr>
                <w:rFonts w:ascii="Arial" w:hAnsi="Arial" w:cs="Arial"/>
                <w:sz w:val="16"/>
                <w:szCs w:val="16"/>
              </w:rPr>
              <w:t>20</w:t>
            </w:r>
            <w:r w:rsidR="00F86AED" w:rsidRPr="00A62B71">
              <w:rPr>
                <w:rFonts w:ascii="Arial" w:hAnsi="Arial" w:cs="Arial"/>
                <w:sz w:val="16"/>
                <w:szCs w:val="16"/>
              </w:rPr>
              <w:t>6</w:t>
            </w:r>
            <w:r w:rsidRPr="00A62B71">
              <w:rPr>
                <w:rFonts w:ascii="Arial" w:hAnsi="Arial" w:cs="Arial"/>
                <w:sz w:val="16"/>
                <w:szCs w:val="16"/>
              </w:rPr>
              <w:t xml:space="preserve"> </w:t>
            </w:r>
          </w:p>
        </w:tc>
        <w:tc>
          <w:tcPr>
            <w:tcW w:w="936" w:type="dxa"/>
            <w:tcBorders>
              <w:top w:val="nil"/>
              <w:left w:val="nil"/>
              <w:bottom w:val="single" w:sz="4" w:space="0" w:color="000000"/>
              <w:right w:val="nil"/>
            </w:tcBorders>
            <w:vAlign w:val="bottom"/>
          </w:tcPr>
          <w:p w14:paraId="5C9EAA3D" w14:textId="3BA82DCD" w:rsidR="00607E1A" w:rsidRPr="00A62B71" w:rsidRDefault="00607E1A" w:rsidP="00A62B71">
            <w:pPr>
              <w:jc w:val="right"/>
              <w:rPr>
                <w:rFonts w:ascii="Arial" w:hAnsi="Arial" w:cs="Arial"/>
                <w:sz w:val="16"/>
                <w:szCs w:val="16"/>
              </w:rPr>
            </w:pPr>
            <w:r w:rsidRPr="00A62B71">
              <w:rPr>
                <w:rFonts w:ascii="Arial" w:hAnsi="Arial" w:cs="Arial"/>
                <w:sz w:val="16"/>
                <w:szCs w:val="16"/>
              </w:rPr>
              <w:t>27,12</w:t>
            </w:r>
            <w:r w:rsidR="00F86AED" w:rsidRPr="00A62B71">
              <w:rPr>
                <w:rFonts w:ascii="Arial" w:hAnsi="Arial" w:cs="Arial"/>
                <w:sz w:val="16"/>
                <w:szCs w:val="16"/>
              </w:rPr>
              <w:t>1</w:t>
            </w:r>
          </w:p>
        </w:tc>
        <w:tc>
          <w:tcPr>
            <w:tcW w:w="1260" w:type="dxa"/>
            <w:tcBorders>
              <w:top w:val="nil"/>
              <w:left w:val="nil"/>
              <w:bottom w:val="single" w:sz="4" w:space="0" w:color="000000"/>
              <w:right w:val="nil"/>
            </w:tcBorders>
            <w:shd w:val="clear" w:color="auto" w:fill="auto"/>
            <w:vAlign w:val="bottom"/>
            <w:hideMark/>
          </w:tcPr>
          <w:p w14:paraId="4DF5C924" w14:textId="3F3CF83A" w:rsidR="00607E1A" w:rsidRPr="00A62B71" w:rsidRDefault="00607E1A" w:rsidP="00A62B71">
            <w:pPr>
              <w:jc w:val="right"/>
              <w:rPr>
                <w:rFonts w:ascii="Arial" w:hAnsi="Arial" w:cs="Arial"/>
                <w:b/>
                <w:bCs/>
                <w:color w:val="000000"/>
                <w:sz w:val="16"/>
                <w:szCs w:val="16"/>
                <w:lang w:val="en-US"/>
              </w:rPr>
            </w:pPr>
            <w:r w:rsidRPr="00A62B71">
              <w:rPr>
                <w:rFonts w:ascii="Arial" w:hAnsi="Arial" w:cs="Arial"/>
                <w:b/>
                <w:bCs/>
                <w:sz w:val="16"/>
                <w:szCs w:val="16"/>
              </w:rPr>
              <w:t xml:space="preserve"> </w:t>
            </w:r>
            <w:r w:rsidR="006F03B8" w:rsidRPr="00A62B71">
              <w:rPr>
                <w:rFonts w:ascii="Arial" w:hAnsi="Arial" w:cs="Arial"/>
                <w:b/>
                <w:bCs/>
                <w:sz w:val="16"/>
                <w:szCs w:val="16"/>
              </w:rPr>
              <w:t>1,2</w:t>
            </w:r>
            <w:r w:rsidR="00A173C5">
              <w:rPr>
                <w:rFonts w:ascii="Arial" w:hAnsi="Arial" w:cs="Arial"/>
                <w:b/>
                <w:bCs/>
                <w:sz w:val="16"/>
                <w:szCs w:val="16"/>
              </w:rPr>
              <w:t>1</w:t>
            </w:r>
            <w:r w:rsidR="002F2A6C">
              <w:rPr>
                <w:rFonts w:ascii="Arial" w:hAnsi="Arial" w:cs="Arial"/>
                <w:b/>
                <w:bCs/>
                <w:sz w:val="16"/>
                <w:szCs w:val="16"/>
              </w:rPr>
              <w:t>6,008</w:t>
            </w:r>
            <w:r w:rsidRPr="00A62B71">
              <w:rPr>
                <w:rFonts w:ascii="Arial" w:hAnsi="Arial" w:cs="Arial"/>
                <w:b/>
                <w:bCs/>
                <w:sz w:val="16"/>
                <w:szCs w:val="16"/>
              </w:rPr>
              <w:t xml:space="preserve"> </w:t>
            </w:r>
          </w:p>
        </w:tc>
        <w:tc>
          <w:tcPr>
            <w:tcW w:w="1260" w:type="dxa"/>
            <w:tcBorders>
              <w:top w:val="nil"/>
              <w:left w:val="nil"/>
              <w:bottom w:val="single" w:sz="4" w:space="0" w:color="000000"/>
              <w:right w:val="nil"/>
            </w:tcBorders>
            <w:shd w:val="clear" w:color="auto" w:fill="auto"/>
            <w:noWrap/>
            <w:vAlign w:val="bottom"/>
            <w:hideMark/>
          </w:tcPr>
          <w:p w14:paraId="693241E4" w14:textId="2168C8DB" w:rsidR="00607E1A" w:rsidRPr="00AB42F3" w:rsidRDefault="00607E1A" w:rsidP="00A62B71">
            <w:pPr>
              <w:jc w:val="right"/>
              <w:rPr>
                <w:rFonts w:ascii="Arial" w:hAnsi="Arial" w:cs="Arial"/>
                <w:b/>
                <w:color w:val="000000"/>
                <w:sz w:val="16"/>
                <w:szCs w:val="16"/>
                <w:lang w:val="en-US"/>
              </w:rPr>
            </w:pPr>
            <w:r w:rsidRPr="00AB42F3">
              <w:rPr>
                <w:rFonts w:ascii="Arial" w:hAnsi="Arial" w:cs="Arial"/>
                <w:b/>
                <w:sz w:val="16"/>
                <w:szCs w:val="16"/>
              </w:rPr>
              <w:t xml:space="preserve"> 4</w:t>
            </w:r>
            <w:r w:rsidR="00AD3BCD" w:rsidRPr="00AB42F3">
              <w:rPr>
                <w:rFonts w:ascii="Arial" w:hAnsi="Arial" w:cs="Arial"/>
                <w:b/>
                <w:sz w:val="16"/>
                <w:szCs w:val="16"/>
              </w:rPr>
              <w:t>4</w:t>
            </w:r>
            <w:r w:rsidRPr="00AB42F3">
              <w:rPr>
                <w:rFonts w:ascii="Arial" w:hAnsi="Arial" w:cs="Arial"/>
                <w:b/>
                <w:sz w:val="16"/>
                <w:szCs w:val="16"/>
              </w:rPr>
              <w:t>,</w:t>
            </w:r>
            <w:r w:rsidR="00432389">
              <w:rPr>
                <w:rFonts w:ascii="Arial" w:hAnsi="Arial" w:cs="Arial"/>
                <w:b/>
                <w:sz w:val="16"/>
                <w:szCs w:val="16"/>
              </w:rPr>
              <w:t>41</w:t>
            </w:r>
            <w:r w:rsidR="002F2A6C" w:rsidRPr="00AB42F3">
              <w:rPr>
                <w:rFonts w:ascii="Arial" w:hAnsi="Arial" w:cs="Arial"/>
                <w:b/>
                <w:sz w:val="16"/>
                <w:szCs w:val="16"/>
              </w:rPr>
              <w:t>3,511</w:t>
            </w:r>
            <w:r w:rsidRPr="00AB42F3">
              <w:rPr>
                <w:rFonts w:ascii="Arial" w:hAnsi="Arial" w:cs="Arial"/>
                <w:b/>
                <w:sz w:val="16"/>
                <w:szCs w:val="16"/>
              </w:rPr>
              <w:t xml:space="preserve"> </w:t>
            </w:r>
          </w:p>
        </w:tc>
      </w:tr>
    </w:tbl>
    <w:p w14:paraId="3F678FA6" w14:textId="77777777" w:rsidR="00284064" w:rsidRDefault="00284064" w:rsidP="00033D76">
      <w:pPr>
        <w:ind w:left="851"/>
        <w:rPr>
          <w:rFonts w:ascii="Arial" w:hAnsi="Arial" w:cs="Arial"/>
          <w:b/>
          <w:bCs/>
          <w:sz w:val="18"/>
          <w:szCs w:val="18"/>
        </w:rPr>
      </w:pPr>
    </w:p>
    <w:p w14:paraId="760633E6" w14:textId="77777777" w:rsidR="009873AD" w:rsidRDefault="009873AD" w:rsidP="00033D76">
      <w:pPr>
        <w:ind w:left="851"/>
        <w:rPr>
          <w:rFonts w:ascii="Arial" w:hAnsi="Arial" w:cs="Arial"/>
          <w:b/>
          <w:bCs/>
          <w:sz w:val="18"/>
          <w:szCs w:val="18"/>
        </w:rPr>
      </w:pPr>
    </w:p>
    <w:p w14:paraId="7A83ECD8" w14:textId="77777777" w:rsidR="00766EBD" w:rsidRPr="00A10E12" w:rsidRDefault="00766EBD" w:rsidP="00FB6F7B">
      <w:pPr>
        <w:rPr>
          <w:rFonts w:ascii="Arial" w:hAnsi="Arial" w:cs="Arial"/>
          <w:b/>
          <w:sz w:val="16"/>
          <w:szCs w:val="16"/>
        </w:rPr>
      </w:pPr>
    </w:p>
    <w:tbl>
      <w:tblPr>
        <w:tblW w:w="9374" w:type="dxa"/>
        <w:tblInd w:w="284" w:type="dxa"/>
        <w:tblLayout w:type="fixed"/>
        <w:tblLook w:val="04A0" w:firstRow="1" w:lastRow="0" w:firstColumn="1" w:lastColumn="0" w:noHBand="0" w:noVBand="1"/>
      </w:tblPr>
      <w:tblGrid>
        <w:gridCol w:w="2163"/>
        <w:gridCol w:w="1153"/>
        <w:gridCol w:w="1153"/>
        <w:gridCol w:w="1009"/>
        <w:gridCol w:w="1153"/>
        <w:gridCol w:w="1449"/>
        <w:gridCol w:w="1294"/>
      </w:tblGrid>
      <w:tr w:rsidR="00464A7D" w:rsidRPr="00723C25" w14:paraId="3E888E66" w14:textId="77777777" w:rsidTr="00A7016F">
        <w:trPr>
          <w:trHeight w:val="458"/>
        </w:trPr>
        <w:tc>
          <w:tcPr>
            <w:tcW w:w="9374" w:type="dxa"/>
            <w:gridSpan w:val="7"/>
            <w:tcBorders>
              <w:top w:val="nil"/>
              <w:left w:val="nil"/>
              <w:bottom w:val="nil"/>
            </w:tcBorders>
            <w:shd w:val="clear" w:color="auto" w:fill="auto"/>
            <w:noWrap/>
            <w:hideMark/>
          </w:tcPr>
          <w:p w14:paraId="664DC439" w14:textId="77777777" w:rsidR="00464A7D" w:rsidRPr="00A10E12" w:rsidRDefault="00464A7D" w:rsidP="00A7016F">
            <w:pPr>
              <w:jc w:val="center"/>
              <w:rPr>
                <w:rFonts w:ascii="Arial" w:hAnsi="Arial" w:cs="Arial"/>
                <w:b/>
                <w:bCs/>
                <w:sz w:val="16"/>
                <w:szCs w:val="16"/>
              </w:rPr>
            </w:pPr>
            <w:r w:rsidRPr="00A10E12">
              <w:rPr>
                <w:rFonts w:ascii="Arial" w:hAnsi="Arial" w:cs="Arial"/>
                <w:b/>
                <w:bCs/>
                <w:sz w:val="16"/>
                <w:szCs w:val="16"/>
              </w:rPr>
              <w:t>For the year ended December 31, 2022</w:t>
            </w:r>
          </w:p>
          <w:p w14:paraId="058AF292" w14:textId="77777777" w:rsidR="00464A7D" w:rsidRPr="00723C25" w:rsidRDefault="00464A7D" w:rsidP="00A7016F">
            <w:pPr>
              <w:jc w:val="center"/>
              <w:rPr>
                <w:rFonts w:ascii="Arial" w:hAnsi="Arial" w:cs="Arial"/>
                <w:sz w:val="16"/>
                <w:szCs w:val="16"/>
                <w:lang w:val="en-US"/>
              </w:rPr>
            </w:pPr>
          </w:p>
        </w:tc>
      </w:tr>
      <w:tr w:rsidR="00607E1A" w:rsidRPr="00723C25" w14:paraId="1176E274" w14:textId="77777777" w:rsidTr="00A7016F">
        <w:trPr>
          <w:trHeight w:val="339"/>
        </w:trPr>
        <w:tc>
          <w:tcPr>
            <w:tcW w:w="2163" w:type="dxa"/>
            <w:tcBorders>
              <w:top w:val="nil"/>
              <w:left w:val="nil"/>
              <w:bottom w:val="single" w:sz="4" w:space="0" w:color="auto"/>
              <w:right w:val="nil"/>
            </w:tcBorders>
            <w:shd w:val="clear" w:color="auto" w:fill="auto"/>
            <w:noWrap/>
            <w:hideMark/>
          </w:tcPr>
          <w:p w14:paraId="17CBC436" w14:textId="77777777" w:rsidR="00607E1A" w:rsidRPr="00723C25" w:rsidRDefault="00607E1A" w:rsidP="0097553A">
            <w:pPr>
              <w:rPr>
                <w:rFonts w:ascii="Arial" w:hAnsi="Arial" w:cs="Arial"/>
                <w:sz w:val="16"/>
                <w:szCs w:val="16"/>
                <w:lang w:val="en-US"/>
              </w:rPr>
            </w:pPr>
          </w:p>
        </w:tc>
        <w:tc>
          <w:tcPr>
            <w:tcW w:w="1153" w:type="dxa"/>
            <w:tcBorders>
              <w:top w:val="nil"/>
              <w:left w:val="nil"/>
              <w:bottom w:val="single" w:sz="4" w:space="0" w:color="auto"/>
              <w:right w:val="nil"/>
            </w:tcBorders>
            <w:shd w:val="clear" w:color="auto" w:fill="auto"/>
            <w:vAlign w:val="bottom"/>
            <w:hideMark/>
          </w:tcPr>
          <w:p w14:paraId="7F330755" w14:textId="77777777" w:rsidR="00607E1A" w:rsidRPr="00723C25" w:rsidRDefault="00607E1A" w:rsidP="003C2AE2">
            <w:pPr>
              <w:ind w:firstLineChars="100" w:firstLine="163"/>
              <w:jc w:val="right"/>
              <w:rPr>
                <w:rFonts w:ascii="Arial" w:hAnsi="Arial" w:cs="Arial"/>
                <w:b/>
                <w:bCs/>
                <w:sz w:val="16"/>
                <w:szCs w:val="16"/>
                <w:lang w:val="en-US"/>
              </w:rPr>
            </w:pPr>
            <w:r w:rsidRPr="00723C25">
              <w:rPr>
                <w:rFonts w:ascii="Arial" w:hAnsi="Arial" w:cs="Arial"/>
                <w:b/>
                <w:bCs/>
                <w:sz w:val="16"/>
                <w:szCs w:val="16"/>
                <w:lang w:val="en-US"/>
              </w:rPr>
              <w:t>Manitoba Nickel</w:t>
            </w:r>
          </w:p>
        </w:tc>
        <w:tc>
          <w:tcPr>
            <w:tcW w:w="1153" w:type="dxa"/>
            <w:tcBorders>
              <w:top w:val="nil"/>
              <w:left w:val="nil"/>
              <w:bottom w:val="single" w:sz="4" w:space="0" w:color="auto"/>
              <w:right w:val="nil"/>
            </w:tcBorders>
            <w:shd w:val="clear" w:color="auto" w:fill="auto"/>
            <w:vAlign w:val="bottom"/>
            <w:hideMark/>
          </w:tcPr>
          <w:p w14:paraId="63AD3F2A" w14:textId="77777777" w:rsidR="00607E1A" w:rsidRPr="00723C25" w:rsidRDefault="00607E1A" w:rsidP="003C2AE2">
            <w:pPr>
              <w:ind w:firstLineChars="100" w:firstLine="163"/>
              <w:jc w:val="right"/>
              <w:rPr>
                <w:rFonts w:ascii="Arial" w:hAnsi="Arial" w:cs="Arial"/>
                <w:b/>
                <w:bCs/>
                <w:sz w:val="16"/>
                <w:szCs w:val="16"/>
                <w:lang w:val="en-US"/>
              </w:rPr>
            </w:pPr>
            <w:r w:rsidRPr="00723C25">
              <w:rPr>
                <w:rFonts w:ascii="Arial" w:hAnsi="Arial" w:cs="Arial"/>
                <w:b/>
                <w:bCs/>
                <w:sz w:val="16"/>
                <w:szCs w:val="16"/>
                <w:lang w:val="en-US"/>
              </w:rPr>
              <w:t>Pickett Mountain</w:t>
            </w:r>
          </w:p>
        </w:tc>
        <w:tc>
          <w:tcPr>
            <w:tcW w:w="1009" w:type="dxa"/>
            <w:tcBorders>
              <w:top w:val="nil"/>
              <w:left w:val="nil"/>
              <w:bottom w:val="single" w:sz="4" w:space="0" w:color="auto"/>
              <w:right w:val="nil"/>
            </w:tcBorders>
            <w:shd w:val="clear" w:color="auto" w:fill="auto"/>
            <w:vAlign w:val="bottom"/>
            <w:hideMark/>
          </w:tcPr>
          <w:p w14:paraId="085D0EB2" w14:textId="77777777" w:rsidR="00607E1A" w:rsidRPr="00723C25" w:rsidRDefault="00607E1A" w:rsidP="003C2AE2">
            <w:pPr>
              <w:ind w:firstLineChars="100" w:firstLine="163"/>
              <w:jc w:val="right"/>
              <w:rPr>
                <w:rFonts w:ascii="Arial" w:hAnsi="Arial" w:cs="Arial"/>
                <w:b/>
                <w:bCs/>
                <w:sz w:val="16"/>
                <w:szCs w:val="16"/>
                <w:lang w:val="en-US"/>
              </w:rPr>
            </w:pPr>
            <w:proofErr w:type="spellStart"/>
            <w:r w:rsidRPr="00723C25">
              <w:rPr>
                <w:rFonts w:ascii="Arial" w:hAnsi="Arial" w:cs="Arial"/>
                <w:b/>
                <w:bCs/>
                <w:sz w:val="16"/>
                <w:szCs w:val="16"/>
                <w:lang w:val="en-US"/>
              </w:rPr>
              <w:t>Teta-gouche</w:t>
            </w:r>
            <w:proofErr w:type="spellEnd"/>
          </w:p>
        </w:tc>
        <w:tc>
          <w:tcPr>
            <w:tcW w:w="1153" w:type="dxa"/>
            <w:tcBorders>
              <w:top w:val="nil"/>
              <w:left w:val="nil"/>
              <w:bottom w:val="single" w:sz="4" w:space="0" w:color="auto"/>
              <w:right w:val="nil"/>
            </w:tcBorders>
            <w:shd w:val="clear" w:color="auto" w:fill="auto"/>
            <w:vAlign w:val="bottom"/>
            <w:hideMark/>
          </w:tcPr>
          <w:p w14:paraId="75096D5F" w14:textId="77777777" w:rsidR="00607E1A" w:rsidRPr="00723C25" w:rsidRDefault="00607E1A" w:rsidP="003C2AE2">
            <w:pPr>
              <w:ind w:firstLineChars="100" w:firstLine="163"/>
              <w:jc w:val="right"/>
              <w:rPr>
                <w:rFonts w:ascii="Arial" w:hAnsi="Arial" w:cs="Arial"/>
                <w:b/>
                <w:bCs/>
                <w:sz w:val="16"/>
                <w:szCs w:val="16"/>
                <w:lang w:val="en-US"/>
              </w:rPr>
            </w:pPr>
            <w:r w:rsidRPr="00723C25">
              <w:rPr>
                <w:rFonts w:ascii="Arial" w:hAnsi="Arial" w:cs="Arial"/>
                <w:b/>
                <w:bCs/>
                <w:sz w:val="16"/>
                <w:szCs w:val="16"/>
                <w:lang w:val="en-US"/>
              </w:rPr>
              <w:t>Big Silver</w:t>
            </w:r>
          </w:p>
        </w:tc>
        <w:tc>
          <w:tcPr>
            <w:tcW w:w="1449" w:type="dxa"/>
            <w:tcBorders>
              <w:top w:val="nil"/>
              <w:left w:val="nil"/>
              <w:bottom w:val="single" w:sz="4" w:space="0" w:color="auto"/>
              <w:right w:val="nil"/>
            </w:tcBorders>
            <w:shd w:val="clear" w:color="auto" w:fill="auto"/>
            <w:vAlign w:val="bottom"/>
            <w:hideMark/>
          </w:tcPr>
          <w:p w14:paraId="6C7D2C78" w14:textId="77777777" w:rsidR="00382BF1" w:rsidRDefault="00607E1A" w:rsidP="003C2AE2">
            <w:pPr>
              <w:jc w:val="right"/>
              <w:rPr>
                <w:rFonts w:ascii="Arial" w:hAnsi="Arial" w:cs="Arial"/>
                <w:b/>
                <w:bCs/>
                <w:sz w:val="16"/>
                <w:szCs w:val="16"/>
                <w:lang w:val="en-US"/>
              </w:rPr>
            </w:pPr>
            <w:r w:rsidRPr="00723C25">
              <w:rPr>
                <w:rFonts w:ascii="Arial" w:hAnsi="Arial" w:cs="Arial"/>
                <w:b/>
                <w:bCs/>
                <w:sz w:val="16"/>
                <w:szCs w:val="16"/>
                <w:lang w:val="en-US"/>
              </w:rPr>
              <w:t>Total for</w:t>
            </w:r>
          </w:p>
          <w:p w14:paraId="05B5C3E3" w14:textId="125F48EB" w:rsidR="00607E1A" w:rsidRPr="00723C25" w:rsidRDefault="00607E1A" w:rsidP="003C2AE2">
            <w:pPr>
              <w:jc w:val="right"/>
              <w:rPr>
                <w:rFonts w:ascii="Arial" w:hAnsi="Arial" w:cs="Arial"/>
                <w:b/>
                <w:bCs/>
                <w:sz w:val="16"/>
                <w:szCs w:val="16"/>
                <w:lang w:val="en-US"/>
              </w:rPr>
            </w:pPr>
            <w:r w:rsidRPr="00723C25">
              <w:rPr>
                <w:rFonts w:ascii="Arial" w:hAnsi="Arial" w:cs="Arial"/>
                <w:b/>
                <w:bCs/>
                <w:sz w:val="16"/>
                <w:szCs w:val="16"/>
                <w:lang w:val="en-US"/>
              </w:rPr>
              <w:t xml:space="preserve"> 2022</w:t>
            </w:r>
          </w:p>
        </w:tc>
        <w:tc>
          <w:tcPr>
            <w:tcW w:w="1294" w:type="dxa"/>
            <w:tcBorders>
              <w:top w:val="nil"/>
              <w:left w:val="nil"/>
              <w:bottom w:val="single" w:sz="4" w:space="0" w:color="auto"/>
              <w:right w:val="nil"/>
            </w:tcBorders>
            <w:shd w:val="clear" w:color="auto" w:fill="auto"/>
            <w:vAlign w:val="bottom"/>
            <w:hideMark/>
          </w:tcPr>
          <w:p w14:paraId="29287E02" w14:textId="58F2EC71" w:rsidR="00607E1A" w:rsidRPr="00723C25" w:rsidRDefault="00607E1A" w:rsidP="003C2AE2">
            <w:pPr>
              <w:ind w:firstLineChars="100" w:firstLine="163"/>
              <w:jc w:val="right"/>
              <w:rPr>
                <w:rFonts w:ascii="Arial" w:hAnsi="Arial" w:cs="Arial"/>
                <w:b/>
                <w:bCs/>
                <w:sz w:val="16"/>
                <w:szCs w:val="16"/>
                <w:lang w:val="en-US"/>
              </w:rPr>
            </w:pPr>
            <w:r w:rsidRPr="00723C25">
              <w:rPr>
                <w:rFonts w:ascii="Arial" w:hAnsi="Arial" w:cs="Arial"/>
                <w:b/>
                <w:bCs/>
                <w:sz w:val="16"/>
                <w:szCs w:val="16"/>
                <w:lang w:val="en-US"/>
              </w:rPr>
              <w:t xml:space="preserve">Total </w:t>
            </w:r>
            <w:r w:rsidR="00382BF1">
              <w:rPr>
                <w:rFonts w:ascii="Arial" w:hAnsi="Arial" w:cs="Arial"/>
                <w:b/>
                <w:bCs/>
                <w:sz w:val="16"/>
                <w:szCs w:val="16"/>
                <w:lang w:val="en-US"/>
              </w:rPr>
              <w:t xml:space="preserve">from </w:t>
            </w:r>
            <w:r w:rsidRPr="00723C25">
              <w:rPr>
                <w:rFonts w:ascii="Arial" w:hAnsi="Arial" w:cs="Arial"/>
                <w:b/>
                <w:bCs/>
                <w:sz w:val="16"/>
                <w:szCs w:val="16"/>
                <w:lang w:val="en-US"/>
              </w:rPr>
              <w:t>inception</w:t>
            </w:r>
          </w:p>
        </w:tc>
      </w:tr>
      <w:tr w:rsidR="00A3262A" w:rsidRPr="00723C25" w14:paraId="5C8AF7EE" w14:textId="77777777" w:rsidTr="00A7016F">
        <w:trPr>
          <w:trHeight w:val="152"/>
        </w:trPr>
        <w:tc>
          <w:tcPr>
            <w:tcW w:w="2163" w:type="dxa"/>
            <w:tcBorders>
              <w:top w:val="single" w:sz="4" w:space="0" w:color="auto"/>
              <w:left w:val="nil"/>
              <w:bottom w:val="nil"/>
              <w:right w:val="nil"/>
            </w:tcBorders>
            <w:shd w:val="clear" w:color="auto" w:fill="auto"/>
            <w:vAlign w:val="bottom"/>
          </w:tcPr>
          <w:p w14:paraId="6F137A4F" w14:textId="77777777" w:rsidR="00A3262A" w:rsidRPr="00A10E12" w:rsidRDefault="00A3262A" w:rsidP="0097553A">
            <w:pPr>
              <w:rPr>
                <w:rFonts w:ascii="Arial" w:hAnsi="Arial" w:cs="Arial"/>
                <w:sz w:val="16"/>
                <w:szCs w:val="16"/>
                <w:lang w:val="en-US"/>
              </w:rPr>
            </w:pPr>
          </w:p>
        </w:tc>
        <w:tc>
          <w:tcPr>
            <w:tcW w:w="1153" w:type="dxa"/>
            <w:tcBorders>
              <w:top w:val="single" w:sz="4" w:space="0" w:color="auto"/>
              <w:left w:val="nil"/>
              <w:bottom w:val="nil"/>
              <w:right w:val="nil"/>
            </w:tcBorders>
            <w:shd w:val="clear" w:color="auto" w:fill="auto"/>
            <w:vAlign w:val="bottom"/>
          </w:tcPr>
          <w:p w14:paraId="59482800" w14:textId="6DAE5FC8" w:rsidR="00A3262A" w:rsidRPr="00A10E12" w:rsidRDefault="00A3262A" w:rsidP="0097553A">
            <w:pPr>
              <w:jc w:val="right"/>
              <w:rPr>
                <w:rFonts w:ascii="Arial" w:hAnsi="Arial" w:cs="Arial"/>
                <w:sz w:val="16"/>
                <w:szCs w:val="16"/>
              </w:rPr>
            </w:pPr>
            <w:r>
              <w:rPr>
                <w:rFonts w:ascii="Arial" w:hAnsi="Arial" w:cs="Arial"/>
                <w:sz w:val="16"/>
                <w:szCs w:val="16"/>
              </w:rPr>
              <w:t>$</w:t>
            </w:r>
          </w:p>
        </w:tc>
        <w:tc>
          <w:tcPr>
            <w:tcW w:w="1153" w:type="dxa"/>
            <w:tcBorders>
              <w:top w:val="single" w:sz="4" w:space="0" w:color="auto"/>
              <w:left w:val="nil"/>
              <w:bottom w:val="nil"/>
              <w:right w:val="nil"/>
            </w:tcBorders>
            <w:shd w:val="clear" w:color="auto" w:fill="auto"/>
            <w:vAlign w:val="bottom"/>
          </w:tcPr>
          <w:p w14:paraId="40337938" w14:textId="0C3C4FC3" w:rsidR="00A3262A" w:rsidRPr="00A10E12" w:rsidRDefault="00A3262A" w:rsidP="0097553A">
            <w:pPr>
              <w:jc w:val="right"/>
              <w:rPr>
                <w:rFonts w:ascii="Arial" w:hAnsi="Arial" w:cs="Arial"/>
                <w:sz w:val="16"/>
                <w:szCs w:val="16"/>
              </w:rPr>
            </w:pPr>
            <w:r>
              <w:rPr>
                <w:rFonts w:ascii="Arial" w:hAnsi="Arial" w:cs="Arial"/>
                <w:sz w:val="16"/>
                <w:szCs w:val="16"/>
              </w:rPr>
              <w:t>$</w:t>
            </w:r>
          </w:p>
        </w:tc>
        <w:tc>
          <w:tcPr>
            <w:tcW w:w="1009" w:type="dxa"/>
            <w:tcBorders>
              <w:top w:val="single" w:sz="4" w:space="0" w:color="auto"/>
              <w:left w:val="nil"/>
              <w:bottom w:val="nil"/>
              <w:right w:val="nil"/>
            </w:tcBorders>
            <w:shd w:val="clear" w:color="auto" w:fill="auto"/>
            <w:vAlign w:val="bottom"/>
          </w:tcPr>
          <w:p w14:paraId="11BE1E6E" w14:textId="2B641B2E" w:rsidR="00A3262A" w:rsidRPr="00A10E12" w:rsidRDefault="00A3262A" w:rsidP="0097553A">
            <w:pPr>
              <w:jc w:val="right"/>
              <w:rPr>
                <w:rFonts w:ascii="Arial" w:hAnsi="Arial" w:cs="Arial"/>
                <w:sz w:val="16"/>
                <w:szCs w:val="16"/>
              </w:rPr>
            </w:pPr>
            <w:r>
              <w:rPr>
                <w:rFonts w:ascii="Arial" w:hAnsi="Arial" w:cs="Arial"/>
                <w:sz w:val="16"/>
                <w:szCs w:val="16"/>
              </w:rPr>
              <w:t>$</w:t>
            </w:r>
          </w:p>
        </w:tc>
        <w:tc>
          <w:tcPr>
            <w:tcW w:w="1153" w:type="dxa"/>
            <w:tcBorders>
              <w:top w:val="single" w:sz="4" w:space="0" w:color="auto"/>
              <w:left w:val="nil"/>
              <w:bottom w:val="nil"/>
              <w:right w:val="nil"/>
            </w:tcBorders>
            <w:shd w:val="clear" w:color="auto" w:fill="auto"/>
            <w:vAlign w:val="bottom"/>
          </w:tcPr>
          <w:p w14:paraId="45A22792" w14:textId="61EBD069" w:rsidR="00A3262A" w:rsidRPr="00A10E12" w:rsidRDefault="00A3262A" w:rsidP="0097553A">
            <w:pPr>
              <w:jc w:val="right"/>
              <w:rPr>
                <w:rFonts w:ascii="Arial" w:hAnsi="Arial" w:cs="Arial"/>
                <w:sz w:val="16"/>
                <w:szCs w:val="16"/>
              </w:rPr>
            </w:pPr>
            <w:r>
              <w:rPr>
                <w:rFonts w:ascii="Arial" w:hAnsi="Arial" w:cs="Arial"/>
                <w:sz w:val="16"/>
                <w:szCs w:val="16"/>
              </w:rPr>
              <w:t>$</w:t>
            </w:r>
          </w:p>
        </w:tc>
        <w:tc>
          <w:tcPr>
            <w:tcW w:w="1449" w:type="dxa"/>
            <w:tcBorders>
              <w:top w:val="single" w:sz="4" w:space="0" w:color="auto"/>
              <w:left w:val="nil"/>
              <w:bottom w:val="nil"/>
              <w:right w:val="nil"/>
            </w:tcBorders>
            <w:shd w:val="clear" w:color="auto" w:fill="auto"/>
            <w:vAlign w:val="bottom"/>
          </w:tcPr>
          <w:p w14:paraId="78D4DC0F" w14:textId="05CAC1BC" w:rsidR="00A3262A" w:rsidRPr="00A10E12" w:rsidRDefault="00A3262A" w:rsidP="0097553A">
            <w:pPr>
              <w:jc w:val="right"/>
              <w:rPr>
                <w:rFonts w:ascii="Arial" w:hAnsi="Arial" w:cs="Arial"/>
                <w:b/>
                <w:sz w:val="16"/>
                <w:szCs w:val="16"/>
              </w:rPr>
            </w:pPr>
            <w:r>
              <w:rPr>
                <w:rFonts w:ascii="Arial" w:hAnsi="Arial" w:cs="Arial"/>
                <w:b/>
                <w:sz w:val="16"/>
                <w:szCs w:val="16"/>
              </w:rPr>
              <w:t>$</w:t>
            </w:r>
          </w:p>
        </w:tc>
        <w:tc>
          <w:tcPr>
            <w:tcW w:w="1294" w:type="dxa"/>
            <w:tcBorders>
              <w:top w:val="single" w:sz="4" w:space="0" w:color="auto"/>
              <w:left w:val="nil"/>
              <w:bottom w:val="nil"/>
              <w:right w:val="nil"/>
            </w:tcBorders>
            <w:shd w:val="clear" w:color="auto" w:fill="auto"/>
            <w:noWrap/>
            <w:vAlign w:val="bottom"/>
          </w:tcPr>
          <w:p w14:paraId="190B2B5B" w14:textId="40871436" w:rsidR="00A3262A" w:rsidRPr="00A10E12" w:rsidRDefault="00A3262A" w:rsidP="0097553A">
            <w:pPr>
              <w:jc w:val="right"/>
              <w:rPr>
                <w:rFonts w:ascii="Arial" w:hAnsi="Arial" w:cs="Arial"/>
                <w:sz w:val="16"/>
                <w:szCs w:val="16"/>
              </w:rPr>
            </w:pPr>
            <w:r>
              <w:rPr>
                <w:rFonts w:ascii="Arial" w:hAnsi="Arial" w:cs="Arial"/>
                <w:sz w:val="16"/>
                <w:szCs w:val="16"/>
              </w:rPr>
              <w:t>$</w:t>
            </w:r>
          </w:p>
        </w:tc>
      </w:tr>
      <w:tr w:rsidR="00607E1A" w:rsidRPr="00723C25" w14:paraId="35DBB4E9" w14:textId="77777777" w:rsidTr="00A7016F">
        <w:trPr>
          <w:trHeight w:hRule="exact" w:val="261"/>
        </w:trPr>
        <w:tc>
          <w:tcPr>
            <w:tcW w:w="2163" w:type="dxa"/>
            <w:tcBorders>
              <w:top w:val="single" w:sz="4" w:space="0" w:color="auto"/>
              <w:left w:val="nil"/>
              <w:bottom w:val="nil"/>
              <w:right w:val="nil"/>
            </w:tcBorders>
            <w:shd w:val="clear" w:color="auto" w:fill="auto"/>
            <w:vAlign w:val="bottom"/>
            <w:hideMark/>
          </w:tcPr>
          <w:p w14:paraId="18DA39CF"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Analysis</w:t>
            </w:r>
          </w:p>
        </w:tc>
        <w:tc>
          <w:tcPr>
            <w:tcW w:w="1153" w:type="dxa"/>
            <w:tcBorders>
              <w:top w:val="single" w:sz="4" w:space="0" w:color="auto"/>
              <w:left w:val="nil"/>
              <w:bottom w:val="nil"/>
              <w:right w:val="nil"/>
            </w:tcBorders>
            <w:shd w:val="clear" w:color="auto" w:fill="auto"/>
            <w:vAlign w:val="bottom"/>
            <w:hideMark/>
          </w:tcPr>
          <w:p w14:paraId="06E8807C"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153" w:type="dxa"/>
            <w:tcBorders>
              <w:top w:val="single" w:sz="4" w:space="0" w:color="auto"/>
              <w:left w:val="nil"/>
              <w:bottom w:val="nil"/>
              <w:right w:val="nil"/>
            </w:tcBorders>
            <w:shd w:val="clear" w:color="auto" w:fill="auto"/>
            <w:vAlign w:val="bottom"/>
            <w:hideMark/>
          </w:tcPr>
          <w:p w14:paraId="2095D710"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27,915 </w:t>
            </w:r>
          </w:p>
        </w:tc>
        <w:tc>
          <w:tcPr>
            <w:tcW w:w="1009" w:type="dxa"/>
            <w:tcBorders>
              <w:top w:val="single" w:sz="4" w:space="0" w:color="auto"/>
              <w:left w:val="nil"/>
              <w:bottom w:val="nil"/>
              <w:right w:val="nil"/>
            </w:tcBorders>
            <w:shd w:val="clear" w:color="auto" w:fill="auto"/>
            <w:vAlign w:val="bottom"/>
            <w:hideMark/>
          </w:tcPr>
          <w:p w14:paraId="2F683543"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14,487 </w:t>
            </w:r>
          </w:p>
        </w:tc>
        <w:tc>
          <w:tcPr>
            <w:tcW w:w="1153" w:type="dxa"/>
            <w:tcBorders>
              <w:top w:val="single" w:sz="4" w:space="0" w:color="auto"/>
              <w:left w:val="nil"/>
              <w:bottom w:val="nil"/>
              <w:right w:val="nil"/>
            </w:tcBorders>
            <w:shd w:val="clear" w:color="auto" w:fill="auto"/>
            <w:vAlign w:val="bottom"/>
            <w:hideMark/>
          </w:tcPr>
          <w:p w14:paraId="4BD02ADF"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449" w:type="dxa"/>
            <w:tcBorders>
              <w:top w:val="single" w:sz="4" w:space="0" w:color="auto"/>
              <w:left w:val="nil"/>
              <w:bottom w:val="nil"/>
              <w:right w:val="nil"/>
            </w:tcBorders>
            <w:shd w:val="clear" w:color="auto" w:fill="auto"/>
            <w:vAlign w:val="bottom"/>
            <w:hideMark/>
          </w:tcPr>
          <w:p w14:paraId="0C099D8F" w14:textId="77777777" w:rsidR="00607E1A" w:rsidRPr="00A7016F" w:rsidRDefault="00607E1A" w:rsidP="0097553A">
            <w:pPr>
              <w:jc w:val="right"/>
              <w:rPr>
                <w:rFonts w:ascii="Arial" w:hAnsi="Arial" w:cs="Arial"/>
                <w:bCs/>
                <w:color w:val="000000"/>
                <w:sz w:val="16"/>
                <w:szCs w:val="16"/>
                <w:lang w:val="en-US"/>
              </w:rPr>
            </w:pPr>
            <w:r w:rsidRPr="00A7016F">
              <w:rPr>
                <w:rFonts w:ascii="Arial" w:hAnsi="Arial" w:cs="Arial"/>
                <w:bCs/>
                <w:sz w:val="16"/>
                <w:szCs w:val="16"/>
              </w:rPr>
              <w:t xml:space="preserve"> 42,402 </w:t>
            </w:r>
          </w:p>
        </w:tc>
        <w:tc>
          <w:tcPr>
            <w:tcW w:w="1294" w:type="dxa"/>
            <w:tcBorders>
              <w:top w:val="single" w:sz="4" w:space="0" w:color="auto"/>
              <w:left w:val="nil"/>
              <w:bottom w:val="nil"/>
              <w:right w:val="nil"/>
            </w:tcBorders>
            <w:shd w:val="clear" w:color="auto" w:fill="auto"/>
            <w:noWrap/>
            <w:vAlign w:val="bottom"/>
            <w:hideMark/>
          </w:tcPr>
          <w:p w14:paraId="67EE23AE"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998,784 </w:t>
            </w:r>
          </w:p>
        </w:tc>
      </w:tr>
      <w:tr w:rsidR="00607E1A" w:rsidRPr="00723C25" w14:paraId="24C8A0DB" w14:textId="77777777" w:rsidTr="00A7016F">
        <w:trPr>
          <w:trHeight w:hRule="exact" w:val="261"/>
        </w:trPr>
        <w:tc>
          <w:tcPr>
            <w:tcW w:w="2163" w:type="dxa"/>
            <w:tcBorders>
              <w:top w:val="nil"/>
              <w:left w:val="nil"/>
              <w:bottom w:val="nil"/>
              <w:right w:val="nil"/>
            </w:tcBorders>
            <w:shd w:val="clear" w:color="auto" w:fill="auto"/>
            <w:vAlign w:val="bottom"/>
            <w:hideMark/>
          </w:tcPr>
          <w:p w14:paraId="48B81B4C"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Geological</w:t>
            </w:r>
          </w:p>
        </w:tc>
        <w:tc>
          <w:tcPr>
            <w:tcW w:w="1153" w:type="dxa"/>
            <w:tcBorders>
              <w:top w:val="nil"/>
              <w:left w:val="nil"/>
              <w:bottom w:val="nil"/>
              <w:right w:val="nil"/>
            </w:tcBorders>
            <w:shd w:val="clear" w:color="auto" w:fill="auto"/>
            <w:vAlign w:val="bottom"/>
            <w:hideMark/>
          </w:tcPr>
          <w:p w14:paraId="59FC057B"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71,123 </w:t>
            </w:r>
          </w:p>
        </w:tc>
        <w:tc>
          <w:tcPr>
            <w:tcW w:w="1153" w:type="dxa"/>
            <w:tcBorders>
              <w:top w:val="nil"/>
              <w:left w:val="nil"/>
              <w:bottom w:val="nil"/>
              <w:right w:val="nil"/>
            </w:tcBorders>
            <w:shd w:val="clear" w:color="auto" w:fill="auto"/>
            <w:vAlign w:val="bottom"/>
            <w:hideMark/>
          </w:tcPr>
          <w:p w14:paraId="346B157A"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32,215 </w:t>
            </w:r>
          </w:p>
        </w:tc>
        <w:tc>
          <w:tcPr>
            <w:tcW w:w="1009" w:type="dxa"/>
            <w:tcBorders>
              <w:top w:val="nil"/>
              <w:left w:val="nil"/>
              <w:bottom w:val="nil"/>
              <w:right w:val="nil"/>
            </w:tcBorders>
            <w:shd w:val="clear" w:color="auto" w:fill="auto"/>
            <w:vAlign w:val="bottom"/>
            <w:hideMark/>
          </w:tcPr>
          <w:p w14:paraId="0B23C257"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22,338 </w:t>
            </w:r>
          </w:p>
        </w:tc>
        <w:tc>
          <w:tcPr>
            <w:tcW w:w="1153" w:type="dxa"/>
            <w:tcBorders>
              <w:top w:val="nil"/>
              <w:left w:val="nil"/>
              <w:bottom w:val="nil"/>
              <w:right w:val="nil"/>
            </w:tcBorders>
            <w:shd w:val="clear" w:color="auto" w:fill="auto"/>
            <w:vAlign w:val="bottom"/>
            <w:hideMark/>
          </w:tcPr>
          <w:p w14:paraId="75E32EFC"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30,333 </w:t>
            </w:r>
          </w:p>
        </w:tc>
        <w:tc>
          <w:tcPr>
            <w:tcW w:w="1449" w:type="dxa"/>
            <w:tcBorders>
              <w:top w:val="nil"/>
              <w:left w:val="nil"/>
              <w:bottom w:val="nil"/>
              <w:right w:val="nil"/>
            </w:tcBorders>
            <w:shd w:val="clear" w:color="auto" w:fill="auto"/>
            <w:vAlign w:val="bottom"/>
            <w:hideMark/>
          </w:tcPr>
          <w:p w14:paraId="278E8045" w14:textId="77777777" w:rsidR="00607E1A" w:rsidRPr="00A7016F" w:rsidRDefault="00607E1A" w:rsidP="0097553A">
            <w:pPr>
              <w:jc w:val="right"/>
              <w:rPr>
                <w:rFonts w:ascii="Arial" w:hAnsi="Arial" w:cs="Arial"/>
                <w:bCs/>
                <w:color w:val="000000"/>
                <w:sz w:val="16"/>
                <w:szCs w:val="16"/>
                <w:lang w:val="en-US"/>
              </w:rPr>
            </w:pPr>
            <w:r w:rsidRPr="00A7016F">
              <w:rPr>
                <w:rFonts w:ascii="Arial" w:hAnsi="Arial" w:cs="Arial"/>
                <w:bCs/>
                <w:sz w:val="16"/>
                <w:szCs w:val="16"/>
              </w:rPr>
              <w:t xml:space="preserve"> 156,008 </w:t>
            </w:r>
          </w:p>
        </w:tc>
        <w:tc>
          <w:tcPr>
            <w:tcW w:w="1294" w:type="dxa"/>
            <w:tcBorders>
              <w:top w:val="nil"/>
              <w:left w:val="nil"/>
              <w:bottom w:val="nil"/>
              <w:right w:val="nil"/>
            </w:tcBorders>
            <w:shd w:val="clear" w:color="auto" w:fill="auto"/>
            <w:noWrap/>
            <w:vAlign w:val="bottom"/>
            <w:hideMark/>
          </w:tcPr>
          <w:p w14:paraId="20DBA153"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3,800,437 </w:t>
            </w:r>
          </w:p>
        </w:tc>
      </w:tr>
      <w:tr w:rsidR="00607E1A" w:rsidRPr="00723C25" w14:paraId="6615BCF6" w14:textId="77777777" w:rsidTr="00A7016F">
        <w:trPr>
          <w:trHeight w:hRule="exact" w:val="261"/>
        </w:trPr>
        <w:tc>
          <w:tcPr>
            <w:tcW w:w="2163" w:type="dxa"/>
            <w:tcBorders>
              <w:top w:val="nil"/>
              <w:left w:val="nil"/>
              <w:bottom w:val="nil"/>
              <w:right w:val="nil"/>
            </w:tcBorders>
            <w:shd w:val="clear" w:color="auto" w:fill="auto"/>
            <w:vAlign w:val="bottom"/>
            <w:hideMark/>
          </w:tcPr>
          <w:p w14:paraId="3FCFB1C6"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Geophysical</w:t>
            </w:r>
          </w:p>
        </w:tc>
        <w:tc>
          <w:tcPr>
            <w:tcW w:w="1153" w:type="dxa"/>
            <w:tcBorders>
              <w:top w:val="nil"/>
              <w:left w:val="nil"/>
              <w:bottom w:val="nil"/>
              <w:right w:val="nil"/>
            </w:tcBorders>
            <w:shd w:val="clear" w:color="auto" w:fill="auto"/>
            <w:vAlign w:val="bottom"/>
            <w:hideMark/>
          </w:tcPr>
          <w:p w14:paraId="1DE3C5F5"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74,440 </w:t>
            </w:r>
          </w:p>
        </w:tc>
        <w:tc>
          <w:tcPr>
            <w:tcW w:w="1153" w:type="dxa"/>
            <w:tcBorders>
              <w:top w:val="nil"/>
              <w:left w:val="nil"/>
              <w:bottom w:val="nil"/>
              <w:right w:val="nil"/>
            </w:tcBorders>
            <w:shd w:val="clear" w:color="auto" w:fill="auto"/>
            <w:noWrap/>
            <w:vAlign w:val="bottom"/>
            <w:hideMark/>
          </w:tcPr>
          <w:p w14:paraId="462E175A"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   </w:t>
            </w:r>
          </w:p>
        </w:tc>
        <w:tc>
          <w:tcPr>
            <w:tcW w:w="1009" w:type="dxa"/>
            <w:tcBorders>
              <w:top w:val="nil"/>
              <w:left w:val="nil"/>
              <w:bottom w:val="nil"/>
              <w:right w:val="nil"/>
            </w:tcBorders>
            <w:shd w:val="clear" w:color="auto" w:fill="auto"/>
            <w:vAlign w:val="bottom"/>
            <w:hideMark/>
          </w:tcPr>
          <w:p w14:paraId="7142BF3E"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47,715 </w:t>
            </w:r>
          </w:p>
        </w:tc>
        <w:tc>
          <w:tcPr>
            <w:tcW w:w="1153" w:type="dxa"/>
            <w:tcBorders>
              <w:top w:val="nil"/>
              <w:left w:val="nil"/>
              <w:bottom w:val="nil"/>
              <w:right w:val="nil"/>
            </w:tcBorders>
            <w:shd w:val="clear" w:color="auto" w:fill="auto"/>
            <w:vAlign w:val="bottom"/>
            <w:hideMark/>
          </w:tcPr>
          <w:p w14:paraId="28AFAEC7"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107,437 </w:t>
            </w:r>
          </w:p>
        </w:tc>
        <w:tc>
          <w:tcPr>
            <w:tcW w:w="1449" w:type="dxa"/>
            <w:tcBorders>
              <w:top w:val="nil"/>
              <w:left w:val="nil"/>
              <w:bottom w:val="nil"/>
              <w:right w:val="nil"/>
            </w:tcBorders>
            <w:shd w:val="clear" w:color="auto" w:fill="auto"/>
            <w:vAlign w:val="bottom"/>
            <w:hideMark/>
          </w:tcPr>
          <w:p w14:paraId="76D0C881" w14:textId="77777777" w:rsidR="00607E1A" w:rsidRPr="00A7016F" w:rsidRDefault="00607E1A" w:rsidP="0097553A">
            <w:pPr>
              <w:jc w:val="right"/>
              <w:rPr>
                <w:rFonts w:ascii="Arial" w:hAnsi="Arial" w:cs="Arial"/>
                <w:bCs/>
                <w:color w:val="000000"/>
                <w:sz w:val="16"/>
                <w:szCs w:val="16"/>
                <w:lang w:val="en-US"/>
              </w:rPr>
            </w:pPr>
            <w:r w:rsidRPr="00A7016F">
              <w:rPr>
                <w:rFonts w:ascii="Arial" w:hAnsi="Arial" w:cs="Arial"/>
                <w:bCs/>
                <w:sz w:val="16"/>
                <w:szCs w:val="16"/>
              </w:rPr>
              <w:t xml:space="preserve"> 229,591 </w:t>
            </w:r>
          </w:p>
        </w:tc>
        <w:tc>
          <w:tcPr>
            <w:tcW w:w="1294" w:type="dxa"/>
            <w:tcBorders>
              <w:top w:val="nil"/>
              <w:left w:val="nil"/>
              <w:bottom w:val="nil"/>
              <w:right w:val="nil"/>
            </w:tcBorders>
            <w:shd w:val="clear" w:color="auto" w:fill="auto"/>
            <w:noWrap/>
            <w:vAlign w:val="bottom"/>
            <w:hideMark/>
          </w:tcPr>
          <w:p w14:paraId="42A8F041"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3,237,891 </w:t>
            </w:r>
          </w:p>
        </w:tc>
      </w:tr>
      <w:tr w:rsidR="00607E1A" w:rsidRPr="00723C25" w14:paraId="5AF3AB96" w14:textId="77777777" w:rsidTr="00A7016F">
        <w:trPr>
          <w:trHeight w:hRule="exact" w:val="261"/>
        </w:trPr>
        <w:tc>
          <w:tcPr>
            <w:tcW w:w="2163" w:type="dxa"/>
            <w:tcBorders>
              <w:top w:val="nil"/>
              <w:left w:val="nil"/>
              <w:bottom w:val="nil"/>
              <w:right w:val="nil"/>
            </w:tcBorders>
            <w:shd w:val="clear" w:color="auto" w:fill="auto"/>
            <w:vAlign w:val="bottom"/>
            <w:hideMark/>
          </w:tcPr>
          <w:p w14:paraId="6AFF10EA"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Geochemical</w:t>
            </w:r>
          </w:p>
        </w:tc>
        <w:tc>
          <w:tcPr>
            <w:tcW w:w="1153" w:type="dxa"/>
            <w:tcBorders>
              <w:top w:val="nil"/>
              <w:left w:val="nil"/>
              <w:bottom w:val="nil"/>
              <w:right w:val="nil"/>
            </w:tcBorders>
            <w:shd w:val="clear" w:color="auto" w:fill="auto"/>
            <w:vAlign w:val="bottom"/>
            <w:hideMark/>
          </w:tcPr>
          <w:p w14:paraId="5638E242"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27,188 </w:t>
            </w:r>
          </w:p>
        </w:tc>
        <w:tc>
          <w:tcPr>
            <w:tcW w:w="1153" w:type="dxa"/>
            <w:tcBorders>
              <w:top w:val="nil"/>
              <w:left w:val="nil"/>
              <w:bottom w:val="nil"/>
              <w:right w:val="nil"/>
            </w:tcBorders>
            <w:shd w:val="clear" w:color="auto" w:fill="auto"/>
            <w:noWrap/>
            <w:vAlign w:val="bottom"/>
            <w:hideMark/>
          </w:tcPr>
          <w:p w14:paraId="5F4CE48D"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1,570 </w:t>
            </w:r>
          </w:p>
        </w:tc>
        <w:tc>
          <w:tcPr>
            <w:tcW w:w="1009" w:type="dxa"/>
            <w:tcBorders>
              <w:top w:val="nil"/>
              <w:left w:val="nil"/>
              <w:bottom w:val="nil"/>
              <w:right w:val="nil"/>
            </w:tcBorders>
            <w:shd w:val="clear" w:color="auto" w:fill="auto"/>
            <w:vAlign w:val="bottom"/>
            <w:hideMark/>
          </w:tcPr>
          <w:p w14:paraId="23E8E89D"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30,468 </w:t>
            </w:r>
          </w:p>
        </w:tc>
        <w:tc>
          <w:tcPr>
            <w:tcW w:w="1153" w:type="dxa"/>
            <w:tcBorders>
              <w:top w:val="nil"/>
              <w:left w:val="nil"/>
              <w:bottom w:val="nil"/>
              <w:right w:val="nil"/>
            </w:tcBorders>
            <w:shd w:val="clear" w:color="auto" w:fill="auto"/>
            <w:vAlign w:val="bottom"/>
            <w:hideMark/>
          </w:tcPr>
          <w:p w14:paraId="39309E63"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57,189 </w:t>
            </w:r>
          </w:p>
        </w:tc>
        <w:tc>
          <w:tcPr>
            <w:tcW w:w="1449" w:type="dxa"/>
            <w:tcBorders>
              <w:top w:val="nil"/>
              <w:left w:val="nil"/>
              <w:bottom w:val="nil"/>
              <w:right w:val="nil"/>
            </w:tcBorders>
            <w:shd w:val="clear" w:color="auto" w:fill="auto"/>
            <w:vAlign w:val="bottom"/>
            <w:hideMark/>
          </w:tcPr>
          <w:p w14:paraId="1938FD28" w14:textId="77777777" w:rsidR="00607E1A" w:rsidRPr="00A7016F" w:rsidRDefault="00607E1A" w:rsidP="0097553A">
            <w:pPr>
              <w:jc w:val="right"/>
              <w:rPr>
                <w:rFonts w:ascii="Arial" w:hAnsi="Arial" w:cs="Arial"/>
                <w:bCs/>
                <w:color w:val="000000"/>
                <w:sz w:val="16"/>
                <w:szCs w:val="16"/>
                <w:lang w:val="en-US"/>
              </w:rPr>
            </w:pPr>
            <w:r w:rsidRPr="00A7016F">
              <w:rPr>
                <w:rFonts w:ascii="Arial" w:hAnsi="Arial" w:cs="Arial"/>
                <w:bCs/>
                <w:sz w:val="16"/>
                <w:szCs w:val="16"/>
              </w:rPr>
              <w:t xml:space="preserve"> 116,414 </w:t>
            </w:r>
          </w:p>
        </w:tc>
        <w:tc>
          <w:tcPr>
            <w:tcW w:w="1294" w:type="dxa"/>
            <w:tcBorders>
              <w:top w:val="nil"/>
              <w:left w:val="nil"/>
              <w:bottom w:val="nil"/>
              <w:right w:val="nil"/>
            </w:tcBorders>
            <w:shd w:val="clear" w:color="auto" w:fill="auto"/>
            <w:noWrap/>
            <w:vAlign w:val="bottom"/>
            <w:hideMark/>
          </w:tcPr>
          <w:p w14:paraId="3A549C0F"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454,005 </w:t>
            </w:r>
          </w:p>
        </w:tc>
      </w:tr>
      <w:tr w:rsidR="00607E1A" w:rsidRPr="00723C25" w14:paraId="3818230D" w14:textId="77777777" w:rsidTr="00A7016F">
        <w:trPr>
          <w:trHeight w:hRule="exact" w:val="261"/>
        </w:trPr>
        <w:tc>
          <w:tcPr>
            <w:tcW w:w="2163" w:type="dxa"/>
            <w:tcBorders>
              <w:top w:val="nil"/>
              <w:left w:val="nil"/>
              <w:bottom w:val="nil"/>
              <w:right w:val="nil"/>
            </w:tcBorders>
            <w:shd w:val="clear" w:color="auto" w:fill="auto"/>
            <w:vAlign w:val="bottom"/>
            <w:hideMark/>
          </w:tcPr>
          <w:p w14:paraId="510A85EA"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Travel</w:t>
            </w:r>
          </w:p>
        </w:tc>
        <w:tc>
          <w:tcPr>
            <w:tcW w:w="1153" w:type="dxa"/>
            <w:tcBorders>
              <w:top w:val="nil"/>
              <w:left w:val="nil"/>
              <w:bottom w:val="nil"/>
              <w:right w:val="nil"/>
            </w:tcBorders>
            <w:shd w:val="clear" w:color="auto" w:fill="auto"/>
            <w:vAlign w:val="bottom"/>
            <w:hideMark/>
          </w:tcPr>
          <w:p w14:paraId="1BC0357B"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58,755 </w:t>
            </w:r>
          </w:p>
        </w:tc>
        <w:tc>
          <w:tcPr>
            <w:tcW w:w="1153" w:type="dxa"/>
            <w:tcBorders>
              <w:top w:val="nil"/>
              <w:left w:val="nil"/>
              <w:bottom w:val="nil"/>
              <w:right w:val="nil"/>
            </w:tcBorders>
            <w:shd w:val="clear" w:color="auto" w:fill="auto"/>
            <w:noWrap/>
            <w:vAlign w:val="bottom"/>
            <w:hideMark/>
          </w:tcPr>
          <w:p w14:paraId="37D0707F"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43,088 </w:t>
            </w:r>
          </w:p>
        </w:tc>
        <w:tc>
          <w:tcPr>
            <w:tcW w:w="1009" w:type="dxa"/>
            <w:tcBorders>
              <w:top w:val="nil"/>
              <w:left w:val="nil"/>
              <w:bottom w:val="nil"/>
              <w:right w:val="nil"/>
            </w:tcBorders>
            <w:shd w:val="clear" w:color="auto" w:fill="auto"/>
            <w:vAlign w:val="bottom"/>
            <w:hideMark/>
          </w:tcPr>
          <w:p w14:paraId="5278968C"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12,455 </w:t>
            </w:r>
          </w:p>
        </w:tc>
        <w:tc>
          <w:tcPr>
            <w:tcW w:w="1153" w:type="dxa"/>
            <w:tcBorders>
              <w:top w:val="nil"/>
              <w:left w:val="nil"/>
              <w:bottom w:val="nil"/>
              <w:right w:val="nil"/>
            </w:tcBorders>
            <w:shd w:val="clear" w:color="auto" w:fill="auto"/>
            <w:vAlign w:val="bottom"/>
            <w:hideMark/>
          </w:tcPr>
          <w:p w14:paraId="77344D9A"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12,434 </w:t>
            </w:r>
          </w:p>
        </w:tc>
        <w:tc>
          <w:tcPr>
            <w:tcW w:w="1449" w:type="dxa"/>
            <w:tcBorders>
              <w:top w:val="nil"/>
              <w:left w:val="nil"/>
              <w:bottom w:val="nil"/>
              <w:right w:val="nil"/>
            </w:tcBorders>
            <w:shd w:val="clear" w:color="auto" w:fill="auto"/>
            <w:vAlign w:val="bottom"/>
            <w:hideMark/>
          </w:tcPr>
          <w:p w14:paraId="2C91F77F" w14:textId="77777777" w:rsidR="00607E1A" w:rsidRPr="00A7016F" w:rsidRDefault="00607E1A" w:rsidP="0097553A">
            <w:pPr>
              <w:jc w:val="right"/>
              <w:rPr>
                <w:rFonts w:ascii="Arial" w:hAnsi="Arial" w:cs="Arial"/>
                <w:bCs/>
                <w:color w:val="000000"/>
                <w:sz w:val="16"/>
                <w:szCs w:val="16"/>
                <w:lang w:val="en-US"/>
              </w:rPr>
            </w:pPr>
            <w:r w:rsidRPr="00A7016F">
              <w:rPr>
                <w:rFonts w:ascii="Arial" w:hAnsi="Arial" w:cs="Arial"/>
                <w:bCs/>
                <w:sz w:val="16"/>
                <w:szCs w:val="16"/>
              </w:rPr>
              <w:t xml:space="preserve"> 126,732 </w:t>
            </w:r>
          </w:p>
        </w:tc>
        <w:tc>
          <w:tcPr>
            <w:tcW w:w="1294" w:type="dxa"/>
            <w:tcBorders>
              <w:top w:val="nil"/>
              <w:left w:val="nil"/>
              <w:bottom w:val="nil"/>
              <w:right w:val="nil"/>
            </w:tcBorders>
            <w:shd w:val="clear" w:color="auto" w:fill="auto"/>
            <w:noWrap/>
            <w:vAlign w:val="bottom"/>
            <w:hideMark/>
          </w:tcPr>
          <w:p w14:paraId="76D08200" w14:textId="77777777" w:rsidR="00607E1A" w:rsidRPr="00A10E12" w:rsidRDefault="00607E1A" w:rsidP="00382BF1">
            <w:pPr>
              <w:jc w:val="right"/>
              <w:rPr>
                <w:rFonts w:ascii="Arial" w:hAnsi="Arial" w:cs="Arial"/>
                <w:color w:val="000000"/>
                <w:sz w:val="16"/>
                <w:szCs w:val="16"/>
                <w:lang w:val="en-US"/>
              </w:rPr>
            </w:pPr>
            <w:r w:rsidRPr="00A10E12">
              <w:rPr>
                <w:rFonts w:ascii="Arial" w:hAnsi="Arial" w:cs="Arial"/>
                <w:sz w:val="16"/>
                <w:szCs w:val="16"/>
              </w:rPr>
              <w:t xml:space="preserve"> 880,933 </w:t>
            </w:r>
          </w:p>
        </w:tc>
      </w:tr>
      <w:tr w:rsidR="00607E1A" w:rsidRPr="00723C25" w14:paraId="4ABBA356" w14:textId="77777777" w:rsidTr="00A7016F">
        <w:trPr>
          <w:trHeight w:hRule="exact" w:val="261"/>
        </w:trPr>
        <w:tc>
          <w:tcPr>
            <w:tcW w:w="2163" w:type="dxa"/>
            <w:tcBorders>
              <w:top w:val="nil"/>
              <w:left w:val="nil"/>
              <w:bottom w:val="nil"/>
              <w:right w:val="nil"/>
            </w:tcBorders>
            <w:shd w:val="clear" w:color="auto" w:fill="auto"/>
            <w:vAlign w:val="bottom"/>
            <w:hideMark/>
          </w:tcPr>
          <w:p w14:paraId="110576AD"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Drilling</w:t>
            </w:r>
          </w:p>
        </w:tc>
        <w:tc>
          <w:tcPr>
            <w:tcW w:w="1153" w:type="dxa"/>
            <w:tcBorders>
              <w:top w:val="nil"/>
              <w:left w:val="nil"/>
              <w:bottom w:val="nil"/>
              <w:right w:val="nil"/>
            </w:tcBorders>
            <w:shd w:val="clear" w:color="auto" w:fill="auto"/>
            <w:vAlign w:val="bottom"/>
            <w:hideMark/>
          </w:tcPr>
          <w:p w14:paraId="19A6933B"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944,541 </w:t>
            </w:r>
          </w:p>
        </w:tc>
        <w:tc>
          <w:tcPr>
            <w:tcW w:w="1153" w:type="dxa"/>
            <w:tcBorders>
              <w:top w:val="nil"/>
              <w:left w:val="nil"/>
              <w:bottom w:val="nil"/>
              <w:right w:val="nil"/>
            </w:tcBorders>
            <w:shd w:val="clear" w:color="auto" w:fill="auto"/>
            <w:noWrap/>
            <w:vAlign w:val="bottom"/>
            <w:hideMark/>
          </w:tcPr>
          <w:p w14:paraId="266B03BF"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888 </w:t>
            </w:r>
          </w:p>
        </w:tc>
        <w:tc>
          <w:tcPr>
            <w:tcW w:w="1009" w:type="dxa"/>
            <w:tcBorders>
              <w:top w:val="nil"/>
              <w:left w:val="nil"/>
              <w:bottom w:val="nil"/>
              <w:right w:val="nil"/>
            </w:tcBorders>
            <w:shd w:val="clear" w:color="auto" w:fill="auto"/>
            <w:vAlign w:val="bottom"/>
            <w:hideMark/>
          </w:tcPr>
          <w:p w14:paraId="727B6A89"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780 </w:t>
            </w:r>
          </w:p>
        </w:tc>
        <w:tc>
          <w:tcPr>
            <w:tcW w:w="1153" w:type="dxa"/>
            <w:tcBorders>
              <w:top w:val="nil"/>
              <w:left w:val="nil"/>
              <w:bottom w:val="nil"/>
              <w:right w:val="nil"/>
            </w:tcBorders>
            <w:shd w:val="clear" w:color="auto" w:fill="auto"/>
            <w:vAlign w:val="bottom"/>
            <w:hideMark/>
          </w:tcPr>
          <w:p w14:paraId="03B2F3CC"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3,883 </w:t>
            </w:r>
          </w:p>
        </w:tc>
        <w:tc>
          <w:tcPr>
            <w:tcW w:w="1449" w:type="dxa"/>
            <w:tcBorders>
              <w:top w:val="nil"/>
              <w:left w:val="nil"/>
              <w:bottom w:val="nil"/>
              <w:right w:val="nil"/>
            </w:tcBorders>
            <w:shd w:val="clear" w:color="auto" w:fill="auto"/>
            <w:vAlign w:val="bottom"/>
            <w:hideMark/>
          </w:tcPr>
          <w:p w14:paraId="033F8D7D" w14:textId="77777777" w:rsidR="00607E1A" w:rsidRPr="00A7016F" w:rsidRDefault="00607E1A" w:rsidP="0097553A">
            <w:pPr>
              <w:jc w:val="right"/>
              <w:rPr>
                <w:rFonts w:ascii="Arial" w:hAnsi="Arial" w:cs="Arial"/>
                <w:bCs/>
                <w:color w:val="000000"/>
                <w:sz w:val="16"/>
                <w:szCs w:val="16"/>
                <w:lang w:val="en-US"/>
              </w:rPr>
            </w:pPr>
            <w:r w:rsidRPr="00A7016F">
              <w:rPr>
                <w:rFonts w:ascii="Arial" w:hAnsi="Arial" w:cs="Arial"/>
                <w:bCs/>
                <w:sz w:val="16"/>
                <w:szCs w:val="16"/>
              </w:rPr>
              <w:t xml:space="preserve"> 950,091 </w:t>
            </w:r>
          </w:p>
        </w:tc>
        <w:tc>
          <w:tcPr>
            <w:tcW w:w="1294" w:type="dxa"/>
            <w:tcBorders>
              <w:top w:val="nil"/>
              <w:left w:val="nil"/>
              <w:bottom w:val="nil"/>
              <w:right w:val="nil"/>
            </w:tcBorders>
            <w:shd w:val="clear" w:color="auto" w:fill="auto"/>
            <w:noWrap/>
            <w:vAlign w:val="bottom"/>
            <w:hideMark/>
          </w:tcPr>
          <w:p w14:paraId="3823A69D"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8,786,919 </w:t>
            </w:r>
          </w:p>
        </w:tc>
      </w:tr>
      <w:tr w:rsidR="00607E1A" w:rsidRPr="00723C25" w14:paraId="116AF8D5" w14:textId="77777777" w:rsidTr="00A7016F">
        <w:trPr>
          <w:trHeight w:hRule="exact" w:val="261"/>
        </w:trPr>
        <w:tc>
          <w:tcPr>
            <w:tcW w:w="2163" w:type="dxa"/>
            <w:tcBorders>
              <w:top w:val="nil"/>
              <w:left w:val="nil"/>
              <w:bottom w:val="nil"/>
              <w:right w:val="nil"/>
            </w:tcBorders>
            <w:shd w:val="clear" w:color="auto" w:fill="auto"/>
            <w:vAlign w:val="bottom"/>
            <w:hideMark/>
          </w:tcPr>
          <w:p w14:paraId="1B7603F8"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Property Work</w:t>
            </w:r>
          </w:p>
        </w:tc>
        <w:tc>
          <w:tcPr>
            <w:tcW w:w="1153" w:type="dxa"/>
            <w:tcBorders>
              <w:top w:val="nil"/>
              <w:left w:val="nil"/>
              <w:bottom w:val="nil"/>
              <w:right w:val="nil"/>
            </w:tcBorders>
            <w:shd w:val="clear" w:color="auto" w:fill="auto"/>
            <w:vAlign w:val="bottom"/>
            <w:hideMark/>
          </w:tcPr>
          <w:p w14:paraId="1982FFE3"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153" w:type="dxa"/>
            <w:tcBorders>
              <w:top w:val="nil"/>
              <w:left w:val="nil"/>
              <w:bottom w:val="nil"/>
              <w:right w:val="nil"/>
            </w:tcBorders>
            <w:shd w:val="clear" w:color="auto" w:fill="auto"/>
            <w:vAlign w:val="bottom"/>
            <w:hideMark/>
          </w:tcPr>
          <w:p w14:paraId="519F632F"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16,123 </w:t>
            </w:r>
          </w:p>
        </w:tc>
        <w:tc>
          <w:tcPr>
            <w:tcW w:w="1009" w:type="dxa"/>
            <w:tcBorders>
              <w:top w:val="nil"/>
              <w:left w:val="nil"/>
              <w:bottom w:val="nil"/>
              <w:right w:val="nil"/>
            </w:tcBorders>
            <w:shd w:val="clear" w:color="auto" w:fill="auto"/>
            <w:vAlign w:val="bottom"/>
            <w:hideMark/>
          </w:tcPr>
          <w:p w14:paraId="6AACD2FF" w14:textId="77777777" w:rsidR="00607E1A" w:rsidRPr="00A10E12" w:rsidRDefault="00607E1A" w:rsidP="0097553A">
            <w:pPr>
              <w:jc w:val="center"/>
              <w:rPr>
                <w:rFonts w:ascii="Arial" w:hAnsi="Arial" w:cs="Arial"/>
                <w:sz w:val="16"/>
                <w:szCs w:val="16"/>
                <w:lang w:val="en-US"/>
              </w:rPr>
            </w:pPr>
            <w:r w:rsidRPr="00A10E12">
              <w:rPr>
                <w:rFonts w:ascii="Arial" w:hAnsi="Arial" w:cs="Arial"/>
                <w:sz w:val="16"/>
                <w:szCs w:val="16"/>
              </w:rPr>
              <w:t xml:space="preserve">    175,008 </w:t>
            </w:r>
          </w:p>
        </w:tc>
        <w:tc>
          <w:tcPr>
            <w:tcW w:w="1153" w:type="dxa"/>
            <w:tcBorders>
              <w:top w:val="nil"/>
              <w:left w:val="nil"/>
              <w:bottom w:val="nil"/>
              <w:right w:val="nil"/>
            </w:tcBorders>
            <w:shd w:val="clear" w:color="auto" w:fill="auto"/>
            <w:vAlign w:val="bottom"/>
            <w:hideMark/>
          </w:tcPr>
          <w:p w14:paraId="03276113"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449" w:type="dxa"/>
            <w:tcBorders>
              <w:top w:val="nil"/>
              <w:left w:val="nil"/>
              <w:bottom w:val="nil"/>
              <w:right w:val="nil"/>
            </w:tcBorders>
            <w:shd w:val="clear" w:color="auto" w:fill="auto"/>
            <w:vAlign w:val="bottom"/>
            <w:hideMark/>
          </w:tcPr>
          <w:p w14:paraId="18C3C09D" w14:textId="77777777" w:rsidR="00607E1A" w:rsidRPr="00A7016F" w:rsidRDefault="00607E1A" w:rsidP="0097553A">
            <w:pPr>
              <w:jc w:val="right"/>
              <w:rPr>
                <w:rFonts w:ascii="Arial" w:hAnsi="Arial" w:cs="Arial"/>
                <w:bCs/>
                <w:color w:val="000000"/>
                <w:sz w:val="16"/>
                <w:szCs w:val="16"/>
                <w:lang w:val="en-US"/>
              </w:rPr>
            </w:pPr>
            <w:r w:rsidRPr="00A7016F">
              <w:rPr>
                <w:rFonts w:ascii="Arial" w:hAnsi="Arial" w:cs="Arial"/>
                <w:bCs/>
                <w:sz w:val="16"/>
                <w:szCs w:val="16"/>
              </w:rPr>
              <w:t xml:space="preserve"> 191,131 </w:t>
            </w:r>
          </w:p>
        </w:tc>
        <w:tc>
          <w:tcPr>
            <w:tcW w:w="1294" w:type="dxa"/>
            <w:tcBorders>
              <w:top w:val="nil"/>
              <w:left w:val="nil"/>
              <w:bottom w:val="nil"/>
              <w:right w:val="nil"/>
            </w:tcBorders>
            <w:shd w:val="clear" w:color="auto" w:fill="auto"/>
            <w:noWrap/>
            <w:vAlign w:val="bottom"/>
            <w:hideMark/>
          </w:tcPr>
          <w:p w14:paraId="28C10F0C"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1,013,828 </w:t>
            </w:r>
          </w:p>
        </w:tc>
      </w:tr>
      <w:tr w:rsidR="00607E1A" w:rsidRPr="00723C25" w14:paraId="15EC2D1E" w14:textId="77777777" w:rsidTr="00A7016F">
        <w:trPr>
          <w:trHeight w:hRule="exact" w:val="261"/>
        </w:trPr>
        <w:tc>
          <w:tcPr>
            <w:tcW w:w="2163" w:type="dxa"/>
            <w:tcBorders>
              <w:top w:val="nil"/>
              <w:left w:val="nil"/>
              <w:right w:val="nil"/>
            </w:tcBorders>
            <w:shd w:val="clear" w:color="auto" w:fill="auto"/>
            <w:vAlign w:val="bottom"/>
            <w:hideMark/>
          </w:tcPr>
          <w:p w14:paraId="4FD8C311"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Ops Support</w:t>
            </w:r>
          </w:p>
        </w:tc>
        <w:tc>
          <w:tcPr>
            <w:tcW w:w="1153" w:type="dxa"/>
            <w:tcBorders>
              <w:top w:val="nil"/>
              <w:left w:val="nil"/>
              <w:right w:val="nil"/>
            </w:tcBorders>
            <w:shd w:val="clear" w:color="auto" w:fill="auto"/>
            <w:vAlign w:val="bottom"/>
            <w:hideMark/>
          </w:tcPr>
          <w:p w14:paraId="49C04C26"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5,375 </w:t>
            </w:r>
          </w:p>
        </w:tc>
        <w:tc>
          <w:tcPr>
            <w:tcW w:w="1153" w:type="dxa"/>
            <w:tcBorders>
              <w:top w:val="nil"/>
              <w:left w:val="nil"/>
              <w:right w:val="nil"/>
            </w:tcBorders>
            <w:shd w:val="clear" w:color="auto" w:fill="auto"/>
            <w:noWrap/>
            <w:vAlign w:val="bottom"/>
            <w:hideMark/>
          </w:tcPr>
          <w:p w14:paraId="71363A00"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17,441 </w:t>
            </w:r>
          </w:p>
        </w:tc>
        <w:tc>
          <w:tcPr>
            <w:tcW w:w="1009" w:type="dxa"/>
            <w:tcBorders>
              <w:top w:val="nil"/>
              <w:left w:val="nil"/>
              <w:right w:val="nil"/>
            </w:tcBorders>
            <w:shd w:val="clear" w:color="auto" w:fill="auto"/>
            <w:vAlign w:val="bottom"/>
            <w:hideMark/>
          </w:tcPr>
          <w:p w14:paraId="485BF6EE"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21,095 </w:t>
            </w:r>
          </w:p>
        </w:tc>
        <w:tc>
          <w:tcPr>
            <w:tcW w:w="1153" w:type="dxa"/>
            <w:tcBorders>
              <w:top w:val="nil"/>
              <w:left w:val="nil"/>
              <w:right w:val="nil"/>
            </w:tcBorders>
            <w:shd w:val="clear" w:color="auto" w:fill="auto"/>
            <w:vAlign w:val="bottom"/>
            <w:hideMark/>
          </w:tcPr>
          <w:p w14:paraId="0B1CD5B7"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37,212 </w:t>
            </w:r>
          </w:p>
        </w:tc>
        <w:tc>
          <w:tcPr>
            <w:tcW w:w="1449" w:type="dxa"/>
            <w:tcBorders>
              <w:top w:val="nil"/>
              <w:left w:val="nil"/>
              <w:right w:val="nil"/>
            </w:tcBorders>
            <w:shd w:val="clear" w:color="auto" w:fill="auto"/>
            <w:vAlign w:val="bottom"/>
            <w:hideMark/>
          </w:tcPr>
          <w:p w14:paraId="6C3F8B5E" w14:textId="77777777" w:rsidR="00607E1A" w:rsidRPr="00A7016F" w:rsidRDefault="00607E1A" w:rsidP="0097553A">
            <w:pPr>
              <w:jc w:val="right"/>
              <w:rPr>
                <w:rFonts w:ascii="Arial" w:hAnsi="Arial" w:cs="Arial"/>
                <w:bCs/>
                <w:color w:val="000000"/>
                <w:sz w:val="16"/>
                <w:szCs w:val="16"/>
                <w:lang w:val="en-US"/>
              </w:rPr>
            </w:pPr>
            <w:r w:rsidRPr="00A7016F">
              <w:rPr>
                <w:rFonts w:ascii="Arial" w:hAnsi="Arial" w:cs="Arial"/>
                <w:bCs/>
                <w:sz w:val="16"/>
                <w:szCs w:val="16"/>
              </w:rPr>
              <w:t xml:space="preserve"> 81,124 </w:t>
            </w:r>
          </w:p>
        </w:tc>
        <w:tc>
          <w:tcPr>
            <w:tcW w:w="1294" w:type="dxa"/>
            <w:tcBorders>
              <w:top w:val="nil"/>
              <w:left w:val="nil"/>
              <w:right w:val="nil"/>
            </w:tcBorders>
            <w:shd w:val="clear" w:color="auto" w:fill="auto"/>
            <w:noWrap/>
            <w:vAlign w:val="bottom"/>
            <w:hideMark/>
          </w:tcPr>
          <w:p w14:paraId="5CD296B3"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605,585 </w:t>
            </w:r>
          </w:p>
        </w:tc>
      </w:tr>
      <w:tr w:rsidR="00607E1A" w:rsidRPr="00723C25" w14:paraId="1FCDF7FB" w14:textId="77777777" w:rsidTr="00A7016F">
        <w:trPr>
          <w:trHeight w:hRule="exact" w:val="261"/>
        </w:trPr>
        <w:tc>
          <w:tcPr>
            <w:tcW w:w="2163" w:type="dxa"/>
            <w:tcBorders>
              <w:top w:val="nil"/>
              <w:left w:val="nil"/>
              <w:right w:val="nil"/>
            </w:tcBorders>
            <w:shd w:val="clear" w:color="auto" w:fill="auto"/>
            <w:vAlign w:val="bottom"/>
            <w:hideMark/>
          </w:tcPr>
          <w:p w14:paraId="208B9471"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Administration</w:t>
            </w:r>
          </w:p>
        </w:tc>
        <w:tc>
          <w:tcPr>
            <w:tcW w:w="1153" w:type="dxa"/>
            <w:tcBorders>
              <w:top w:val="nil"/>
              <w:left w:val="nil"/>
              <w:right w:val="nil"/>
            </w:tcBorders>
            <w:shd w:val="clear" w:color="auto" w:fill="auto"/>
            <w:noWrap/>
            <w:vAlign w:val="bottom"/>
            <w:hideMark/>
          </w:tcPr>
          <w:p w14:paraId="25CA83E6"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5,533 </w:t>
            </w:r>
          </w:p>
        </w:tc>
        <w:tc>
          <w:tcPr>
            <w:tcW w:w="1153" w:type="dxa"/>
            <w:tcBorders>
              <w:top w:val="nil"/>
              <w:left w:val="nil"/>
              <w:right w:val="nil"/>
            </w:tcBorders>
            <w:shd w:val="clear" w:color="auto" w:fill="auto"/>
            <w:vAlign w:val="bottom"/>
            <w:hideMark/>
          </w:tcPr>
          <w:p w14:paraId="6532E804"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832 </w:t>
            </w:r>
          </w:p>
        </w:tc>
        <w:tc>
          <w:tcPr>
            <w:tcW w:w="1009" w:type="dxa"/>
            <w:tcBorders>
              <w:top w:val="nil"/>
              <w:left w:val="nil"/>
              <w:right w:val="nil"/>
            </w:tcBorders>
            <w:shd w:val="clear" w:color="auto" w:fill="auto"/>
            <w:vAlign w:val="bottom"/>
            <w:hideMark/>
          </w:tcPr>
          <w:p w14:paraId="6CFBDD02"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9,242 </w:t>
            </w:r>
          </w:p>
        </w:tc>
        <w:tc>
          <w:tcPr>
            <w:tcW w:w="1153" w:type="dxa"/>
            <w:tcBorders>
              <w:top w:val="nil"/>
              <w:left w:val="nil"/>
              <w:right w:val="nil"/>
            </w:tcBorders>
            <w:shd w:val="clear" w:color="auto" w:fill="auto"/>
            <w:vAlign w:val="bottom"/>
            <w:hideMark/>
          </w:tcPr>
          <w:p w14:paraId="155A83B9"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449" w:type="dxa"/>
            <w:tcBorders>
              <w:top w:val="nil"/>
              <w:left w:val="nil"/>
              <w:right w:val="nil"/>
            </w:tcBorders>
            <w:shd w:val="clear" w:color="auto" w:fill="auto"/>
            <w:vAlign w:val="bottom"/>
            <w:hideMark/>
          </w:tcPr>
          <w:p w14:paraId="4C7C1C8F" w14:textId="77777777" w:rsidR="00607E1A" w:rsidRPr="00A7016F" w:rsidRDefault="00607E1A" w:rsidP="0097553A">
            <w:pPr>
              <w:jc w:val="right"/>
              <w:rPr>
                <w:rFonts w:ascii="Arial" w:hAnsi="Arial" w:cs="Arial"/>
                <w:bCs/>
                <w:color w:val="000000"/>
                <w:sz w:val="16"/>
                <w:szCs w:val="16"/>
                <w:lang w:val="en-US"/>
              </w:rPr>
            </w:pPr>
            <w:r w:rsidRPr="00A7016F">
              <w:rPr>
                <w:rFonts w:ascii="Arial" w:hAnsi="Arial" w:cs="Arial"/>
                <w:bCs/>
                <w:sz w:val="16"/>
                <w:szCs w:val="16"/>
              </w:rPr>
              <w:t xml:space="preserve"> 15,607 </w:t>
            </w:r>
          </w:p>
        </w:tc>
        <w:tc>
          <w:tcPr>
            <w:tcW w:w="1294" w:type="dxa"/>
            <w:tcBorders>
              <w:top w:val="nil"/>
              <w:left w:val="nil"/>
              <w:right w:val="nil"/>
            </w:tcBorders>
            <w:shd w:val="clear" w:color="auto" w:fill="auto"/>
            <w:noWrap/>
            <w:vAlign w:val="bottom"/>
            <w:hideMark/>
          </w:tcPr>
          <w:p w14:paraId="5060774F"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767,729 </w:t>
            </w:r>
          </w:p>
        </w:tc>
      </w:tr>
      <w:tr w:rsidR="00607E1A" w:rsidRPr="00723C25" w14:paraId="127F58A8" w14:textId="77777777" w:rsidTr="00A7016F">
        <w:trPr>
          <w:trHeight w:hRule="exact" w:val="261"/>
        </w:trPr>
        <w:tc>
          <w:tcPr>
            <w:tcW w:w="2163" w:type="dxa"/>
            <w:tcBorders>
              <w:left w:val="nil"/>
              <w:right w:val="nil"/>
            </w:tcBorders>
            <w:shd w:val="clear" w:color="auto" w:fill="auto"/>
            <w:vAlign w:val="bottom"/>
          </w:tcPr>
          <w:p w14:paraId="3BAF0956"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General expense</w:t>
            </w:r>
          </w:p>
        </w:tc>
        <w:tc>
          <w:tcPr>
            <w:tcW w:w="1153" w:type="dxa"/>
            <w:tcBorders>
              <w:left w:val="nil"/>
              <w:right w:val="nil"/>
            </w:tcBorders>
            <w:shd w:val="clear" w:color="auto" w:fill="auto"/>
            <w:noWrap/>
            <w:vAlign w:val="bottom"/>
          </w:tcPr>
          <w:p w14:paraId="45060813"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5,599 </w:t>
            </w:r>
          </w:p>
        </w:tc>
        <w:tc>
          <w:tcPr>
            <w:tcW w:w="1153" w:type="dxa"/>
            <w:tcBorders>
              <w:left w:val="nil"/>
              <w:right w:val="nil"/>
            </w:tcBorders>
            <w:shd w:val="clear" w:color="auto" w:fill="auto"/>
            <w:vAlign w:val="bottom"/>
          </w:tcPr>
          <w:p w14:paraId="1370A6F5"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399 </w:t>
            </w:r>
          </w:p>
        </w:tc>
        <w:tc>
          <w:tcPr>
            <w:tcW w:w="1009" w:type="dxa"/>
            <w:tcBorders>
              <w:left w:val="nil"/>
              <w:right w:val="nil"/>
            </w:tcBorders>
            <w:shd w:val="clear" w:color="auto" w:fill="auto"/>
            <w:vAlign w:val="bottom"/>
          </w:tcPr>
          <w:p w14:paraId="63C1C79D"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19,232 </w:t>
            </w:r>
          </w:p>
        </w:tc>
        <w:tc>
          <w:tcPr>
            <w:tcW w:w="1153" w:type="dxa"/>
            <w:tcBorders>
              <w:left w:val="nil"/>
              <w:right w:val="nil"/>
            </w:tcBorders>
            <w:shd w:val="clear" w:color="auto" w:fill="auto"/>
            <w:vAlign w:val="bottom"/>
          </w:tcPr>
          <w:p w14:paraId="1C13BE3C"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196 </w:t>
            </w:r>
          </w:p>
        </w:tc>
        <w:tc>
          <w:tcPr>
            <w:tcW w:w="1449" w:type="dxa"/>
            <w:tcBorders>
              <w:left w:val="nil"/>
              <w:right w:val="nil"/>
            </w:tcBorders>
            <w:shd w:val="clear" w:color="auto" w:fill="auto"/>
            <w:vAlign w:val="bottom"/>
          </w:tcPr>
          <w:p w14:paraId="3C75C25D" w14:textId="77777777" w:rsidR="00607E1A" w:rsidRPr="00A7016F" w:rsidRDefault="00607E1A" w:rsidP="0097553A">
            <w:pPr>
              <w:jc w:val="right"/>
              <w:rPr>
                <w:rFonts w:ascii="Arial" w:hAnsi="Arial" w:cs="Arial"/>
                <w:bCs/>
                <w:color w:val="000000"/>
                <w:sz w:val="16"/>
                <w:szCs w:val="16"/>
                <w:lang w:val="en-US"/>
              </w:rPr>
            </w:pPr>
            <w:r w:rsidRPr="00A7016F">
              <w:rPr>
                <w:rFonts w:ascii="Arial" w:hAnsi="Arial" w:cs="Arial"/>
                <w:bCs/>
                <w:sz w:val="16"/>
                <w:szCs w:val="16"/>
              </w:rPr>
              <w:t xml:space="preserve"> 25,426 </w:t>
            </w:r>
          </w:p>
        </w:tc>
        <w:tc>
          <w:tcPr>
            <w:tcW w:w="1294" w:type="dxa"/>
            <w:tcBorders>
              <w:left w:val="nil"/>
              <w:right w:val="nil"/>
            </w:tcBorders>
            <w:shd w:val="clear" w:color="auto" w:fill="auto"/>
            <w:noWrap/>
            <w:vAlign w:val="bottom"/>
          </w:tcPr>
          <w:p w14:paraId="0CAE36F7"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60,200 </w:t>
            </w:r>
          </w:p>
        </w:tc>
      </w:tr>
      <w:tr w:rsidR="00607E1A" w:rsidRPr="00723C25" w14:paraId="6E6EADA8" w14:textId="77777777" w:rsidTr="00A7016F">
        <w:trPr>
          <w:trHeight w:hRule="exact" w:val="261"/>
        </w:trPr>
        <w:tc>
          <w:tcPr>
            <w:tcW w:w="2163" w:type="dxa"/>
            <w:tcBorders>
              <w:top w:val="nil"/>
              <w:left w:val="nil"/>
              <w:right w:val="nil"/>
            </w:tcBorders>
            <w:shd w:val="clear" w:color="auto" w:fill="auto"/>
            <w:vAlign w:val="bottom"/>
          </w:tcPr>
          <w:p w14:paraId="3A78DDFA"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Site Acquisition costs</w:t>
            </w:r>
          </w:p>
        </w:tc>
        <w:tc>
          <w:tcPr>
            <w:tcW w:w="1153" w:type="dxa"/>
            <w:tcBorders>
              <w:top w:val="nil"/>
              <w:left w:val="nil"/>
              <w:right w:val="nil"/>
            </w:tcBorders>
            <w:shd w:val="clear" w:color="auto" w:fill="auto"/>
            <w:noWrap/>
            <w:vAlign w:val="bottom"/>
          </w:tcPr>
          <w:p w14:paraId="49E89B75" w14:textId="7A24F9DE" w:rsidR="00607E1A" w:rsidRPr="00A10E12" w:rsidRDefault="002A5926" w:rsidP="0097553A">
            <w:pPr>
              <w:jc w:val="right"/>
              <w:rPr>
                <w:rFonts w:ascii="Arial" w:hAnsi="Arial" w:cs="Arial"/>
                <w:color w:val="000000"/>
                <w:sz w:val="16"/>
                <w:szCs w:val="16"/>
                <w:lang w:val="en-US"/>
              </w:rPr>
            </w:pPr>
            <w:r w:rsidRPr="00A10E12">
              <w:rPr>
                <w:rFonts w:ascii="Arial" w:hAnsi="Arial" w:cs="Arial"/>
                <w:sz w:val="16"/>
                <w:szCs w:val="16"/>
              </w:rPr>
              <w:t>50,000</w:t>
            </w:r>
            <w:r w:rsidR="00607E1A" w:rsidRPr="00A10E12">
              <w:rPr>
                <w:rFonts w:ascii="Arial" w:hAnsi="Arial" w:cs="Arial"/>
                <w:sz w:val="16"/>
                <w:szCs w:val="16"/>
              </w:rPr>
              <w:t xml:space="preserve">  </w:t>
            </w:r>
          </w:p>
        </w:tc>
        <w:tc>
          <w:tcPr>
            <w:tcW w:w="1153" w:type="dxa"/>
            <w:tcBorders>
              <w:top w:val="nil"/>
              <w:left w:val="nil"/>
              <w:right w:val="nil"/>
            </w:tcBorders>
            <w:shd w:val="clear" w:color="auto" w:fill="auto"/>
            <w:vAlign w:val="bottom"/>
          </w:tcPr>
          <w:p w14:paraId="7BA0B6F6"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009" w:type="dxa"/>
            <w:tcBorders>
              <w:top w:val="nil"/>
              <w:left w:val="nil"/>
              <w:right w:val="nil"/>
            </w:tcBorders>
            <w:shd w:val="clear" w:color="auto" w:fill="auto"/>
            <w:vAlign w:val="bottom"/>
          </w:tcPr>
          <w:p w14:paraId="5F97E4F1"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153" w:type="dxa"/>
            <w:tcBorders>
              <w:top w:val="nil"/>
              <w:left w:val="nil"/>
              <w:right w:val="nil"/>
            </w:tcBorders>
            <w:shd w:val="clear" w:color="auto" w:fill="auto"/>
            <w:vAlign w:val="bottom"/>
          </w:tcPr>
          <w:p w14:paraId="6136C8D7"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449" w:type="dxa"/>
            <w:tcBorders>
              <w:top w:val="nil"/>
              <w:left w:val="nil"/>
              <w:right w:val="nil"/>
            </w:tcBorders>
            <w:shd w:val="clear" w:color="auto" w:fill="auto"/>
            <w:vAlign w:val="bottom"/>
          </w:tcPr>
          <w:p w14:paraId="0DC3D167" w14:textId="5F4CF436" w:rsidR="00607E1A" w:rsidRPr="00A7016F" w:rsidRDefault="00607E1A" w:rsidP="0097553A">
            <w:pPr>
              <w:jc w:val="right"/>
              <w:rPr>
                <w:rFonts w:ascii="Arial" w:hAnsi="Arial" w:cs="Arial"/>
                <w:bCs/>
                <w:color w:val="000000"/>
                <w:sz w:val="16"/>
                <w:szCs w:val="16"/>
                <w:lang w:val="en-US"/>
              </w:rPr>
            </w:pPr>
            <w:r w:rsidRPr="00A7016F">
              <w:rPr>
                <w:rFonts w:ascii="Arial" w:hAnsi="Arial" w:cs="Arial"/>
                <w:bCs/>
                <w:sz w:val="16"/>
                <w:szCs w:val="16"/>
              </w:rPr>
              <w:t xml:space="preserve"> </w:t>
            </w:r>
            <w:r w:rsidR="002A5926" w:rsidRPr="00A7016F">
              <w:rPr>
                <w:rFonts w:ascii="Arial" w:hAnsi="Arial" w:cs="Arial"/>
                <w:bCs/>
                <w:sz w:val="16"/>
                <w:szCs w:val="16"/>
              </w:rPr>
              <w:t>50,000</w:t>
            </w:r>
            <w:r w:rsidRPr="00A7016F">
              <w:rPr>
                <w:rFonts w:ascii="Arial" w:hAnsi="Arial" w:cs="Arial"/>
                <w:bCs/>
                <w:sz w:val="16"/>
                <w:szCs w:val="16"/>
              </w:rPr>
              <w:t xml:space="preserve">   </w:t>
            </w:r>
          </w:p>
        </w:tc>
        <w:tc>
          <w:tcPr>
            <w:tcW w:w="1294" w:type="dxa"/>
            <w:tcBorders>
              <w:top w:val="nil"/>
              <w:left w:val="nil"/>
              <w:right w:val="nil"/>
            </w:tcBorders>
            <w:shd w:val="clear" w:color="auto" w:fill="auto"/>
            <w:noWrap/>
            <w:vAlign w:val="bottom"/>
          </w:tcPr>
          <w:p w14:paraId="2C45021C" w14:textId="3E150F68"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1</w:t>
            </w:r>
            <w:r w:rsidR="002A5926" w:rsidRPr="00A10E12">
              <w:rPr>
                <w:rFonts w:ascii="Arial" w:hAnsi="Arial" w:cs="Arial"/>
                <w:sz w:val="16"/>
                <w:szCs w:val="16"/>
              </w:rPr>
              <w:t>6</w:t>
            </w:r>
            <w:r w:rsidRPr="00A10E12">
              <w:rPr>
                <w:rFonts w:ascii="Arial" w:hAnsi="Arial" w:cs="Arial"/>
                <w:sz w:val="16"/>
                <w:szCs w:val="16"/>
              </w:rPr>
              <w:t xml:space="preserve">7,837 </w:t>
            </w:r>
          </w:p>
        </w:tc>
      </w:tr>
      <w:tr w:rsidR="00607E1A" w:rsidRPr="00723C25" w14:paraId="19F7D82C" w14:textId="77777777" w:rsidTr="00A7016F">
        <w:trPr>
          <w:trHeight w:hRule="exact" w:val="261"/>
        </w:trPr>
        <w:tc>
          <w:tcPr>
            <w:tcW w:w="2163" w:type="dxa"/>
            <w:tcBorders>
              <w:left w:val="nil"/>
              <w:bottom w:val="single" w:sz="4" w:space="0" w:color="000000"/>
              <w:right w:val="nil"/>
            </w:tcBorders>
            <w:shd w:val="clear" w:color="auto" w:fill="auto"/>
            <w:vAlign w:val="bottom"/>
          </w:tcPr>
          <w:p w14:paraId="2708FCCB" w14:textId="77777777" w:rsidR="00607E1A" w:rsidRPr="00A10E12" w:rsidRDefault="00607E1A" w:rsidP="0097553A">
            <w:pPr>
              <w:rPr>
                <w:rFonts w:ascii="Arial" w:hAnsi="Arial" w:cs="Arial"/>
                <w:sz w:val="16"/>
                <w:szCs w:val="16"/>
                <w:lang w:val="en-US"/>
              </w:rPr>
            </w:pPr>
            <w:r w:rsidRPr="00A10E12">
              <w:rPr>
                <w:rFonts w:ascii="Arial" w:hAnsi="Arial" w:cs="Arial"/>
                <w:sz w:val="16"/>
                <w:szCs w:val="16"/>
                <w:lang w:val="en-US"/>
              </w:rPr>
              <w:t>Mine Permitting expense</w:t>
            </w:r>
          </w:p>
        </w:tc>
        <w:tc>
          <w:tcPr>
            <w:tcW w:w="1153" w:type="dxa"/>
            <w:tcBorders>
              <w:left w:val="nil"/>
              <w:bottom w:val="single" w:sz="4" w:space="0" w:color="000000"/>
              <w:right w:val="nil"/>
            </w:tcBorders>
            <w:shd w:val="clear" w:color="auto" w:fill="auto"/>
            <w:noWrap/>
            <w:vAlign w:val="bottom"/>
          </w:tcPr>
          <w:p w14:paraId="1ED6CDD7"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10,000</w:t>
            </w:r>
          </w:p>
        </w:tc>
        <w:tc>
          <w:tcPr>
            <w:tcW w:w="1153" w:type="dxa"/>
            <w:tcBorders>
              <w:left w:val="nil"/>
              <w:bottom w:val="single" w:sz="4" w:space="0" w:color="000000"/>
              <w:right w:val="nil"/>
            </w:tcBorders>
            <w:shd w:val="clear" w:color="auto" w:fill="auto"/>
            <w:vAlign w:val="bottom"/>
          </w:tcPr>
          <w:p w14:paraId="31A37FA2"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959,169</w:t>
            </w:r>
          </w:p>
        </w:tc>
        <w:tc>
          <w:tcPr>
            <w:tcW w:w="1009" w:type="dxa"/>
            <w:tcBorders>
              <w:left w:val="nil"/>
              <w:bottom w:val="single" w:sz="4" w:space="0" w:color="auto"/>
              <w:right w:val="nil"/>
            </w:tcBorders>
            <w:shd w:val="clear" w:color="auto" w:fill="auto"/>
            <w:vAlign w:val="bottom"/>
          </w:tcPr>
          <w:p w14:paraId="68642B1D"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153" w:type="dxa"/>
            <w:tcBorders>
              <w:left w:val="nil"/>
              <w:bottom w:val="nil"/>
              <w:right w:val="nil"/>
            </w:tcBorders>
            <w:shd w:val="clear" w:color="auto" w:fill="auto"/>
            <w:vAlign w:val="bottom"/>
          </w:tcPr>
          <w:p w14:paraId="65D6D964" w14:textId="77777777" w:rsidR="00607E1A" w:rsidRPr="00A10E12" w:rsidRDefault="00607E1A" w:rsidP="0097553A">
            <w:pPr>
              <w:jc w:val="right"/>
              <w:rPr>
                <w:rFonts w:ascii="Arial" w:hAnsi="Arial" w:cs="Arial"/>
                <w:sz w:val="16"/>
                <w:szCs w:val="16"/>
                <w:lang w:val="en-US"/>
              </w:rPr>
            </w:pPr>
            <w:r w:rsidRPr="00A10E12">
              <w:rPr>
                <w:rFonts w:ascii="Arial" w:hAnsi="Arial" w:cs="Arial"/>
                <w:sz w:val="16"/>
                <w:szCs w:val="16"/>
              </w:rPr>
              <w:t xml:space="preserve"> -   </w:t>
            </w:r>
          </w:p>
        </w:tc>
        <w:tc>
          <w:tcPr>
            <w:tcW w:w="1449" w:type="dxa"/>
            <w:tcBorders>
              <w:left w:val="nil"/>
              <w:bottom w:val="nil"/>
              <w:right w:val="nil"/>
            </w:tcBorders>
            <w:shd w:val="clear" w:color="auto" w:fill="auto"/>
            <w:vAlign w:val="bottom"/>
          </w:tcPr>
          <w:p w14:paraId="7E5EB3B5" w14:textId="77777777" w:rsidR="00607E1A" w:rsidRPr="00A7016F" w:rsidRDefault="00607E1A" w:rsidP="0097553A">
            <w:pPr>
              <w:jc w:val="right"/>
              <w:rPr>
                <w:rFonts w:ascii="Arial" w:hAnsi="Arial" w:cs="Arial"/>
                <w:bCs/>
                <w:color w:val="000000"/>
                <w:sz w:val="16"/>
                <w:szCs w:val="16"/>
                <w:lang w:val="en-US"/>
              </w:rPr>
            </w:pPr>
            <w:r w:rsidRPr="00A7016F">
              <w:rPr>
                <w:rFonts w:ascii="Arial" w:hAnsi="Arial" w:cs="Arial"/>
                <w:bCs/>
                <w:sz w:val="16"/>
                <w:szCs w:val="16"/>
              </w:rPr>
              <w:t xml:space="preserve"> 969,169</w:t>
            </w:r>
          </w:p>
        </w:tc>
        <w:tc>
          <w:tcPr>
            <w:tcW w:w="1294" w:type="dxa"/>
            <w:tcBorders>
              <w:left w:val="nil"/>
              <w:bottom w:val="nil"/>
              <w:right w:val="nil"/>
            </w:tcBorders>
            <w:shd w:val="clear" w:color="auto" w:fill="auto"/>
            <w:noWrap/>
            <w:vAlign w:val="bottom"/>
          </w:tcPr>
          <w:p w14:paraId="1221138E" w14:textId="77777777" w:rsidR="00607E1A" w:rsidRPr="00A10E12" w:rsidRDefault="00607E1A" w:rsidP="0097553A">
            <w:pPr>
              <w:jc w:val="right"/>
              <w:rPr>
                <w:rFonts w:ascii="Arial" w:hAnsi="Arial" w:cs="Arial"/>
                <w:color w:val="000000"/>
                <w:sz w:val="16"/>
                <w:szCs w:val="16"/>
                <w:lang w:val="en-US"/>
              </w:rPr>
            </w:pPr>
            <w:r w:rsidRPr="00A10E12">
              <w:rPr>
                <w:rFonts w:ascii="Arial" w:hAnsi="Arial" w:cs="Arial"/>
                <w:sz w:val="16"/>
                <w:szCs w:val="16"/>
              </w:rPr>
              <w:t xml:space="preserve"> 1,239,858</w:t>
            </w:r>
          </w:p>
        </w:tc>
      </w:tr>
      <w:tr w:rsidR="00607E1A" w:rsidRPr="00723C25" w14:paraId="3DE3C6F5" w14:textId="77777777" w:rsidTr="00A7016F">
        <w:trPr>
          <w:trHeight w:hRule="exact" w:val="261"/>
        </w:trPr>
        <w:tc>
          <w:tcPr>
            <w:tcW w:w="2163" w:type="dxa"/>
            <w:tcBorders>
              <w:top w:val="nil"/>
              <w:left w:val="nil"/>
              <w:bottom w:val="single" w:sz="4" w:space="0" w:color="000000"/>
              <w:right w:val="nil"/>
            </w:tcBorders>
            <w:shd w:val="clear" w:color="auto" w:fill="auto"/>
            <w:vAlign w:val="bottom"/>
            <w:hideMark/>
          </w:tcPr>
          <w:p w14:paraId="542CE28E" w14:textId="77777777" w:rsidR="00607E1A" w:rsidRPr="00723C25" w:rsidRDefault="00607E1A" w:rsidP="0097553A">
            <w:pPr>
              <w:rPr>
                <w:rFonts w:ascii="Arial" w:hAnsi="Arial" w:cs="Arial"/>
                <w:sz w:val="16"/>
                <w:szCs w:val="16"/>
                <w:lang w:val="en-US"/>
              </w:rPr>
            </w:pPr>
            <w:r w:rsidRPr="00723C25">
              <w:rPr>
                <w:rFonts w:ascii="Arial" w:hAnsi="Arial" w:cs="Arial"/>
                <w:sz w:val="16"/>
                <w:szCs w:val="16"/>
                <w:lang w:val="en-US"/>
              </w:rPr>
              <w:t>Total</w:t>
            </w:r>
            <w:r>
              <w:rPr>
                <w:rFonts w:ascii="Arial" w:hAnsi="Arial" w:cs="Arial"/>
                <w:sz w:val="16"/>
                <w:szCs w:val="16"/>
                <w:lang w:val="en-US"/>
              </w:rPr>
              <w:t xml:space="preserve"> </w:t>
            </w:r>
            <w:r w:rsidRPr="0010327A">
              <w:rPr>
                <w:rFonts w:ascii="Arial" w:hAnsi="Arial" w:cs="Arial"/>
                <w:sz w:val="16"/>
                <w:szCs w:val="16"/>
                <w:lang w:val="en-US"/>
              </w:rPr>
              <w:t>Exploration</w:t>
            </w:r>
          </w:p>
        </w:tc>
        <w:tc>
          <w:tcPr>
            <w:tcW w:w="1153" w:type="dxa"/>
            <w:tcBorders>
              <w:top w:val="nil"/>
              <w:left w:val="nil"/>
              <w:bottom w:val="single" w:sz="4" w:space="0" w:color="000000"/>
              <w:right w:val="nil"/>
            </w:tcBorders>
            <w:shd w:val="clear" w:color="auto" w:fill="auto"/>
            <w:noWrap/>
            <w:vAlign w:val="bottom"/>
            <w:hideMark/>
          </w:tcPr>
          <w:p w14:paraId="58FC41DE" w14:textId="7705D4FE" w:rsidR="00607E1A" w:rsidRPr="00723C25" w:rsidRDefault="00607E1A" w:rsidP="0097553A">
            <w:pPr>
              <w:jc w:val="right"/>
              <w:rPr>
                <w:rFonts w:ascii="Arial" w:hAnsi="Arial" w:cs="Arial"/>
                <w:color w:val="000000"/>
                <w:sz w:val="16"/>
                <w:szCs w:val="16"/>
                <w:lang w:val="en-US"/>
              </w:rPr>
            </w:pPr>
            <w:r w:rsidRPr="00723C25">
              <w:rPr>
                <w:rFonts w:ascii="Arial" w:hAnsi="Arial" w:cs="Arial"/>
                <w:color w:val="000000"/>
                <w:sz w:val="16"/>
                <w:szCs w:val="16"/>
                <w:lang w:val="en-US"/>
              </w:rPr>
              <w:t>1,2</w:t>
            </w:r>
            <w:r w:rsidR="002A5926">
              <w:rPr>
                <w:rFonts w:ascii="Arial" w:hAnsi="Arial" w:cs="Arial"/>
                <w:color w:val="000000"/>
                <w:sz w:val="16"/>
                <w:szCs w:val="16"/>
                <w:lang w:val="en-US"/>
              </w:rPr>
              <w:t>5</w:t>
            </w:r>
            <w:r w:rsidRPr="00723C25">
              <w:rPr>
                <w:rFonts w:ascii="Arial" w:hAnsi="Arial" w:cs="Arial"/>
                <w:color w:val="000000"/>
                <w:sz w:val="16"/>
                <w:szCs w:val="16"/>
                <w:lang w:val="en-US"/>
              </w:rPr>
              <w:t>2,553</w:t>
            </w:r>
          </w:p>
        </w:tc>
        <w:tc>
          <w:tcPr>
            <w:tcW w:w="1153" w:type="dxa"/>
            <w:tcBorders>
              <w:top w:val="nil"/>
              <w:left w:val="nil"/>
              <w:bottom w:val="single" w:sz="4" w:space="0" w:color="000000"/>
              <w:right w:val="nil"/>
            </w:tcBorders>
            <w:shd w:val="clear" w:color="auto" w:fill="auto"/>
            <w:noWrap/>
            <w:vAlign w:val="bottom"/>
            <w:hideMark/>
          </w:tcPr>
          <w:p w14:paraId="6077CB25" w14:textId="77777777" w:rsidR="00607E1A" w:rsidRPr="00723C25" w:rsidRDefault="00607E1A" w:rsidP="0097553A">
            <w:pPr>
              <w:jc w:val="right"/>
              <w:rPr>
                <w:rFonts w:ascii="Arial" w:hAnsi="Arial" w:cs="Arial"/>
                <w:color w:val="000000"/>
                <w:sz w:val="16"/>
                <w:szCs w:val="16"/>
                <w:lang w:val="en-US"/>
              </w:rPr>
            </w:pPr>
            <w:r w:rsidRPr="00723C25">
              <w:rPr>
                <w:rFonts w:ascii="Arial" w:hAnsi="Arial" w:cs="Arial"/>
                <w:color w:val="000000"/>
                <w:sz w:val="16"/>
                <w:szCs w:val="16"/>
                <w:lang w:val="en-US"/>
              </w:rPr>
              <w:t>1,099,641</w:t>
            </w:r>
          </w:p>
        </w:tc>
        <w:tc>
          <w:tcPr>
            <w:tcW w:w="1009" w:type="dxa"/>
            <w:tcBorders>
              <w:top w:val="nil"/>
              <w:left w:val="nil"/>
              <w:bottom w:val="single" w:sz="4" w:space="0" w:color="auto"/>
              <w:right w:val="nil"/>
            </w:tcBorders>
            <w:shd w:val="clear" w:color="auto" w:fill="auto"/>
            <w:vAlign w:val="bottom"/>
            <w:hideMark/>
          </w:tcPr>
          <w:p w14:paraId="6EB9410D" w14:textId="77777777" w:rsidR="00607E1A" w:rsidRPr="00723C25" w:rsidRDefault="00607E1A" w:rsidP="0097553A">
            <w:pPr>
              <w:jc w:val="right"/>
              <w:rPr>
                <w:rFonts w:ascii="Arial" w:hAnsi="Arial" w:cs="Arial"/>
                <w:sz w:val="16"/>
                <w:szCs w:val="16"/>
                <w:lang w:val="en-US"/>
              </w:rPr>
            </w:pPr>
            <w:r w:rsidRPr="00723C25">
              <w:rPr>
                <w:rFonts w:ascii="Arial" w:hAnsi="Arial" w:cs="Arial"/>
                <w:sz w:val="16"/>
                <w:szCs w:val="16"/>
                <w:lang w:val="en-US"/>
              </w:rPr>
              <w:t>352,821</w:t>
            </w:r>
          </w:p>
        </w:tc>
        <w:tc>
          <w:tcPr>
            <w:tcW w:w="1153" w:type="dxa"/>
            <w:tcBorders>
              <w:top w:val="single" w:sz="4" w:space="0" w:color="000000"/>
              <w:left w:val="nil"/>
              <w:bottom w:val="single" w:sz="4" w:space="0" w:color="000000"/>
              <w:right w:val="nil"/>
            </w:tcBorders>
            <w:shd w:val="clear" w:color="auto" w:fill="auto"/>
            <w:noWrap/>
            <w:vAlign w:val="bottom"/>
            <w:hideMark/>
          </w:tcPr>
          <w:p w14:paraId="54017E2B" w14:textId="77777777" w:rsidR="00607E1A" w:rsidRPr="00723C25" w:rsidRDefault="00607E1A" w:rsidP="0097553A">
            <w:pPr>
              <w:jc w:val="right"/>
              <w:rPr>
                <w:rFonts w:ascii="Arial" w:hAnsi="Arial" w:cs="Arial"/>
                <w:color w:val="000000"/>
                <w:sz w:val="16"/>
                <w:szCs w:val="16"/>
                <w:lang w:val="en-US"/>
              </w:rPr>
            </w:pPr>
            <w:r w:rsidRPr="00723C25">
              <w:rPr>
                <w:rFonts w:ascii="Arial" w:hAnsi="Arial" w:cs="Arial"/>
                <w:color w:val="000000"/>
                <w:sz w:val="16"/>
                <w:szCs w:val="16"/>
                <w:lang w:val="en-US"/>
              </w:rPr>
              <w:t>248,684</w:t>
            </w:r>
          </w:p>
        </w:tc>
        <w:tc>
          <w:tcPr>
            <w:tcW w:w="1449" w:type="dxa"/>
            <w:tcBorders>
              <w:top w:val="single" w:sz="4" w:space="0" w:color="000000"/>
              <w:left w:val="nil"/>
              <w:bottom w:val="single" w:sz="4" w:space="0" w:color="000000"/>
              <w:right w:val="nil"/>
            </w:tcBorders>
            <w:shd w:val="clear" w:color="auto" w:fill="auto"/>
            <w:vAlign w:val="bottom"/>
            <w:hideMark/>
          </w:tcPr>
          <w:p w14:paraId="58520792" w14:textId="29C81157" w:rsidR="00607E1A" w:rsidRPr="00A7016F" w:rsidRDefault="00607E1A" w:rsidP="0097553A">
            <w:pPr>
              <w:jc w:val="right"/>
              <w:rPr>
                <w:rFonts w:ascii="Arial" w:hAnsi="Arial"/>
                <w:bCs/>
                <w:color w:val="000000"/>
                <w:sz w:val="16"/>
                <w:lang w:val="en-US"/>
              </w:rPr>
            </w:pPr>
            <w:r w:rsidRPr="00A7016F">
              <w:rPr>
                <w:rFonts w:ascii="Arial" w:hAnsi="Arial"/>
                <w:bCs/>
                <w:color w:val="000000"/>
                <w:sz w:val="16"/>
                <w:lang w:val="en-US"/>
              </w:rPr>
              <w:t>2,9</w:t>
            </w:r>
            <w:r w:rsidR="002A5926" w:rsidRPr="00A7016F">
              <w:rPr>
                <w:rFonts w:ascii="Arial" w:hAnsi="Arial"/>
                <w:bCs/>
                <w:color w:val="000000"/>
                <w:sz w:val="16"/>
                <w:lang w:val="en-US"/>
              </w:rPr>
              <w:t>5</w:t>
            </w:r>
            <w:r w:rsidRPr="00A7016F">
              <w:rPr>
                <w:rFonts w:ascii="Arial" w:hAnsi="Arial"/>
                <w:bCs/>
                <w:color w:val="000000"/>
                <w:sz w:val="16"/>
                <w:lang w:val="en-US"/>
              </w:rPr>
              <w:t>3,698</w:t>
            </w:r>
          </w:p>
        </w:tc>
        <w:tc>
          <w:tcPr>
            <w:tcW w:w="1294" w:type="dxa"/>
            <w:tcBorders>
              <w:top w:val="single" w:sz="4" w:space="0" w:color="000000"/>
              <w:left w:val="nil"/>
              <w:bottom w:val="single" w:sz="4" w:space="0" w:color="000000"/>
              <w:right w:val="nil"/>
            </w:tcBorders>
            <w:shd w:val="clear" w:color="auto" w:fill="auto"/>
            <w:noWrap/>
            <w:vAlign w:val="bottom"/>
            <w:hideMark/>
          </w:tcPr>
          <w:p w14:paraId="5DF93E9C" w14:textId="3FB8BDFE" w:rsidR="00607E1A" w:rsidRPr="00723C25" w:rsidRDefault="00607E1A" w:rsidP="0097553A">
            <w:pPr>
              <w:jc w:val="right"/>
              <w:rPr>
                <w:rFonts w:ascii="Arial" w:hAnsi="Arial"/>
                <w:color w:val="000000"/>
                <w:sz w:val="16"/>
                <w:lang w:val="en-US"/>
              </w:rPr>
            </w:pPr>
            <w:r w:rsidRPr="00723C25">
              <w:rPr>
                <w:rFonts w:ascii="Arial" w:hAnsi="Arial"/>
                <w:color w:val="000000"/>
                <w:sz w:val="16"/>
                <w:lang w:val="en-US"/>
              </w:rPr>
              <w:t>2</w:t>
            </w:r>
            <w:r w:rsidR="002A5926">
              <w:rPr>
                <w:rFonts w:ascii="Arial" w:hAnsi="Arial"/>
                <w:color w:val="000000"/>
                <w:sz w:val="16"/>
                <w:lang w:val="en-US"/>
              </w:rPr>
              <w:t>2,01</w:t>
            </w:r>
            <w:r w:rsidRPr="00723C25">
              <w:rPr>
                <w:rFonts w:ascii="Arial" w:hAnsi="Arial"/>
                <w:color w:val="000000"/>
                <w:sz w:val="16"/>
                <w:lang w:val="en-US"/>
              </w:rPr>
              <w:t>4,009</w:t>
            </w:r>
          </w:p>
        </w:tc>
      </w:tr>
      <w:tr w:rsidR="00607E1A" w:rsidRPr="00723C25" w14:paraId="7E75916C" w14:textId="77777777" w:rsidTr="00A7016F">
        <w:trPr>
          <w:trHeight w:hRule="exact" w:val="261"/>
        </w:trPr>
        <w:tc>
          <w:tcPr>
            <w:tcW w:w="2163" w:type="dxa"/>
            <w:tcBorders>
              <w:top w:val="nil"/>
              <w:left w:val="nil"/>
              <w:bottom w:val="single" w:sz="4" w:space="0" w:color="auto"/>
              <w:right w:val="nil"/>
            </w:tcBorders>
            <w:shd w:val="clear" w:color="auto" w:fill="auto"/>
            <w:vAlign w:val="bottom"/>
            <w:hideMark/>
          </w:tcPr>
          <w:p w14:paraId="66546823" w14:textId="77777777" w:rsidR="00607E1A" w:rsidRPr="00723C25" w:rsidRDefault="00607E1A" w:rsidP="0097553A">
            <w:pPr>
              <w:rPr>
                <w:rFonts w:ascii="Arial" w:hAnsi="Arial" w:cs="Arial"/>
                <w:sz w:val="16"/>
                <w:szCs w:val="16"/>
                <w:lang w:val="en-US"/>
              </w:rPr>
            </w:pPr>
            <w:r w:rsidRPr="00723C25">
              <w:rPr>
                <w:rFonts w:ascii="Arial" w:hAnsi="Arial" w:cs="Arial"/>
                <w:sz w:val="16"/>
                <w:szCs w:val="16"/>
                <w:lang w:val="en-US"/>
              </w:rPr>
              <w:t>Other costs</w:t>
            </w:r>
          </w:p>
        </w:tc>
        <w:tc>
          <w:tcPr>
            <w:tcW w:w="1153" w:type="dxa"/>
            <w:tcBorders>
              <w:top w:val="nil"/>
              <w:left w:val="nil"/>
              <w:bottom w:val="single" w:sz="4" w:space="0" w:color="auto"/>
              <w:right w:val="nil"/>
            </w:tcBorders>
            <w:shd w:val="clear" w:color="auto" w:fill="auto"/>
            <w:noWrap/>
            <w:vAlign w:val="bottom"/>
            <w:hideMark/>
          </w:tcPr>
          <w:p w14:paraId="4F2BFD53" w14:textId="77777777" w:rsidR="00607E1A" w:rsidRPr="00723C25" w:rsidRDefault="00607E1A" w:rsidP="0097553A">
            <w:pPr>
              <w:jc w:val="right"/>
              <w:rPr>
                <w:rFonts w:ascii="Arial" w:hAnsi="Arial" w:cs="Arial"/>
                <w:color w:val="000000"/>
                <w:sz w:val="16"/>
                <w:szCs w:val="16"/>
                <w:lang w:val="en-US"/>
              </w:rPr>
            </w:pPr>
            <w:r w:rsidRPr="00723C25">
              <w:rPr>
                <w:rFonts w:ascii="Arial" w:hAnsi="Arial" w:cs="Arial"/>
                <w:color w:val="000000"/>
                <w:sz w:val="16"/>
                <w:szCs w:val="16"/>
                <w:lang w:val="en-US"/>
              </w:rPr>
              <w:t>-</w:t>
            </w:r>
          </w:p>
        </w:tc>
        <w:tc>
          <w:tcPr>
            <w:tcW w:w="1153" w:type="dxa"/>
            <w:tcBorders>
              <w:top w:val="nil"/>
              <w:left w:val="nil"/>
              <w:bottom w:val="single" w:sz="4" w:space="0" w:color="auto"/>
              <w:right w:val="nil"/>
            </w:tcBorders>
            <w:shd w:val="clear" w:color="auto" w:fill="auto"/>
            <w:vAlign w:val="bottom"/>
            <w:hideMark/>
          </w:tcPr>
          <w:p w14:paraId="65A24798" w14:textId="77777777" w:rsidR="00607E1A" w:rsidRPr="00723C25" w:rsidRDefault="00607E1A" w:rsidP="0097553A">
            <w:pPr>
              <w:jc w:val="right"/>
              <w:rPr>
                <w:rFonts w:ascii="Arial" w:hAnsi="Arial" w:cs="Arial"/>
                <w:sz w:val="16"/>
                <w:szCs w:val="16"/>
                <w:lang w:val="en-US"/>
              </w:rPr>
            </w:pPr>
            <w:r w:rsidRPr="00723C25">
              <w:rPr>
                <w:rFonts w:ascii="Arial" w:hAnsi="Arial" w:cs="Arial"/>
                <w:sz w:val="16"/>
                <w:szCs w:val="16"/>
                <w:lang w:val="en-US"/>
              </w:rPr>
              <w:t>-</w:t>
            </w:r>
          </w:p>
        </w:tc>
        <w:tc>
          <w:tcPr>
            <w:tcW w:w="1009" w:type="dxa"/>
            <w:tcBorders>
              <w:top w:val="nil"/>
              <w:left w:val="nil"/>
              <w:bottom w:val="single" w:sz="4" w:space="0" w:color="auto"/>
              <w:right w:val="nil"/>
            </w:tcBorders>
            <w:shd w:val="clear" w:color="auto" w:fill="auto"/>
            <w:vAlign w:val="bottom"/>
            <w:hideMark/>
          </w:tcPr>
          <w:p w14:paraId="1DA18862" w14:textId="77777777" w:rsidR="00607E1A" w:rsidRPr="00723C25" w:rsidRDefault="00607E1A" w:rsidP="0097553A">
            <w:pPr>
              <w:jc w:val="right"/>
              <w:rPr>
                <w:rFonts w:ascii="Arial" w:hAnsi="Arial" w:cs="Arial"/>
                <w:sz w:val="16"/>
                <w:szCs w:val="16"/>
                <w:lang w:val="en-US"/>
              </w:rPr>
            </w:pPr>
            <w:r w:rsidRPr="00723C25">
              <w:rPr>
                <w:rFonts w:ascii="Arial" w:hAnsi="Arial" w:cs="Arial"/>
                <w:sz w:val="16"/>
                <w:szCs w:val="16"/>
                <w:lang w:val="en-US"/>
              </w:rPr>
              <w:t>-</w:t>
            </w:r>
          </w:p>
        </w:tc>
        <w:tc>
          <w:tcPr>
            <w:tcW w:w="1153" w:type="dxa"/>
            <w:tcBorders>
              <w:top w:val="nil"/>
              <w:left w:val="nil"/>
              <w:bottom w:val="single" w:sz="4" w:space="0" w:color="auto"/>
              <w:right w:val="nil"/>
            </w:tcBorders>
            <w:shd w:val="clear" w:color="auto" w:fill="auto"/>
            <w:vAlign w:val="bottom"/>
            <w:hideMark/>
          </w:tcPr>
          <w:p w14:paraId="58F9DC3C" w14:textId="77777777" w:rsidR="00607E1A" w:rsidRPr="00723C25" w:rsidRDefault="00607E1A" w:rsidP="0097553A">
            <w:pPr>
              <w:jc w:val="right"/>
              <w:rPr>
                <w:rFonts w:ascii="Arial" w:hAnsi="Arial" w:cs="Arial"/>
                <w:sz w:val="16"/>
                <w:szCs w:val="16"/>
                <w:lang w:val="en-US"/>
              </w:rPr>
            </w:pPr>
            <w:r w:rsidRPr="00723C25">
              <w:rPr>
                <w:rFonts w:ascii="Arial" w:hAnsi="Arial" w:cs="Arial"/>
                <w:sz w:val="16"/>
                <w:szCs w:val="16"/>
                <w:lang w:val="en-US"/>
              </w:rPr>
              <w:t>-</w:t>
            </w:r>
          </w:p>
        </w:tc>
        <w:tc>
          <w:tcPr>
            <w:tcW w:w="1449" w:type="dxa"/>
            <w:tcBorders>
              <w:top w:val="nil"/>
              <w:left w:val="nil"/>
              <w:bottom w:val="single" w:sz="4" w:space="0" w:color="auto"/>
              <w:right w:val="nil"/>
            </w:tcBorders>
            <w:shd w:val="clear" w:color="auto" w:fill="auto"/>
            <w:vAlign w:val="bottom"/>
            <w:hideMark/>
          </w:tcPr>
          <w:p w14:paraId="0482D253" w14:textId="77777777" w:rsidR="00607E1A" w:rsidRPr="00A7016F" w:rsidRDefault="00607E1A" w:rsidP="0097553A">
            <w:pPr>
              <w:jc w:val="right"/>
              <w:rPr>
                <w:rFonts w:ascii="Arial" w:hAnsi="Arial"/>
                <w:bCs/>
                <w:color w:val="000000"/>
                <w:sz w:val="16"/>
                <w:lang w:val="en-US"/>
              </w:rPr>
            </w:pPr>
            <w:r w:rsidRPr="00A7016F">
              <w:rPr>
                <w:rFonts w:ascii="Arial" w:hAnsi="Arial"/>
                <w:bCs/>
                <w:color w:val="000000"/>
                <w:sz w:val="16"/>
                <w:lang w:val="en-US"/>
              </w:rPr>
              <w:t>-</w:t>
            </w:r>
          </w:p>
        </w:tc>
        <w:tc>
          <w:tcPr>
            <w:tcW w:w="1294" w:type="dxa"/>
            <w:tcBorders>
              <w:top w:val="nil"/>
              <w:left w:val="nil"/>
              <w:bottom w:val="single" w:sz="4" w:space="0" w:color="auto"/>
              <w:right w:val="nil"/>
            </w:tcBorders>
            <w:shd w:val="clear" w:color="auto" w:fill="auto"/>
            <w:noWrap/>
            <w:vAlign w:val="bottom"/>
            <w:hideMark/>
          </w:tcPr>
          <w:p w14:paraId="29CB7C8A" w14:textId="77777777" w:rsidR="00607E1A" w:rsidRPr="00723C25" w:rsidRDefault="00607E1A" w:rsidP="0097553A">
            <w:pPr>
              <w:jc w:val="right"/>
              <w:rPr>
                <w:rFonts w:ascii="Arial" w:hAnsi="Arial"/>
                <w:color w:val="000000"/>
                <w:sz w:val="16"/>
                <w:lang w:val="en-US"/>
              </w:rPr>
            </w:pPr>
            <w:r w:rsidRPr="00723C25">
              <w:rPr>
                <w:rFonts w:ascii="Arial" w:hAnsi="Arial"/>
                <w:color w:val="000000"/>
                <w:sz w:val="16"/>
                <w:lang w:val="en-US"/>
              </w:rPr>
              <w:t>21,133,497</w:t>
            </w:r>
          </w:p>
        </w:tc>
      </w:tr>
      <w:tr w:rsidR="00607E1A" w:rsidRPr="00E91EDA" w14:paraId="4F77A9CD" w14:textId="77777777" w:rsidTr="00A7016F">
        <w:trPr>
          <w:trHeight w:hRule="exact" w:val="261"/>
        </w:trPr>
        <w:tc>
          <w:tcPr>
            <w:tcW w:w="2163" w:type="dxa"/>
            <w:tcBorders>
              <w:top w:val="single" w:sz="4" w:space="0" w:color="auto"/>
              <w:left w:val="nil"/>
              <w:bottom w:val="single" w:sz="4" w:space="0" w:color="auto"/>
              <w:right w:val="nil"/>
            </w:tcBorders>
            <w:shd w:val="clear" w:color="auto" w:fill="auto"/>
            <w:vAlign w:val="bottom"/>
            <w:hideMark/>
          </w:tcPr>
          <w:p w14:paraId="7F58CD86" w14:textId="77777777" w:rsidR="00607E1A" w:rsidRPr="00723C25" w:rsidRDefault="00607E1A" w:rsidP="0097553A">
            <w:pPr>
              <w:rPr>
                <w:rFonts w:ascii="Arial" w:hAnsi="Arial" w:cs="Arial"/>
                <w:b/>
                <w:bCs/>
                <w:sz w:val="16"/>
                <w:szCs w:val="16"/>
                <w:lang w:val="en-US"/>
              </w:rPr>
            </w:pPr>
            <w:r w:rsidRPr="00723C25">
              <w:rPr>
                <w:rFonts w:ascii="Arial" w:hAnsi="Arial" w:cs="Arial"/>
                <w:b/>
                <w:bCs/>
                <w:sz w:val="16"/>
                <w:szCs w:val="16"/>
                <w:lang w:val="en-US"/>
              </w:rPr>
              <w:t>Total</w:t>
            </w:r>
          </w:p>
        </w:tc>
        <w:tc>
          <w:tcPr>
            <w:tcW w:w="1153" w:type="dxa"/>
            <w:tcBorders>
              <w:top w:val="single" w:sz="4" w:space="0" w:color="auto"/>
              <w:left w:val="nil"/>
              <w:bottom w:val="single" w:sz="4" w:space="0" w:color="auto"/>
              <w:right w:val="nil"/>
            </w:tcBorders>
            <w:shd w:val="clear" w:color="auto" w:fill="auto"/>
            <w:vAlign w:val="bottom"/>
            <w:hideMark/>
          </w:tcPr>
          <w:p w14:paraId="0CD18019" w14:textId="7AF5E297" w:rsidR="00607E1A" w:rsidRPr="00723C25" w:rsidRDefault="00607E1A" w:rsidP="0097553A">
            <w:pPr>
              <w:jc w:val="right"/>
              <w:rPr>
                <w:rFonts w:ascii="Arial" w:hAnsi="Arial" w:cs="Arial"/>
                <w:color w:val="000000"/>
                <w:sz w:val="16"/>
                <w:szCs w:val="16"/>
                <w:lang w:val="en-US"/>
              </w:rPr>
            </w:pPr>
            <w:r w:rsidRPr="00723C25">
              <w:rPr>
                <w:rFonts w:ascii="Arial" w:hAnsi="Arial" w:cs="Arial"/>
                <w:color w:val="000000"/>
                <w:sz w:val="16"/>
                <w:szCs w:val="16"/>
                <w:lang w:val="en-US"/>
              </w:rPr>
              <w:t>1,2</w:t>
            </w:r>
            <w:r w:rsidR="002A5926">
              <w:rPr>
                <w:rFonts w:ascii="Arial" w:hAnsi="Arial" w:cs="Arial"/>
                <w:color w:val="000000"/>
                <w:sz w:val="16"/>
                <w:szCs w:val="16"/>
                <w:lang w:val="en-US"/>
              </w:rPr>
              <w:t>5</w:t>
            </w:r>
            <w:r w:rsidRPr="00723C25">
              <w:rPr>
                <w:rFonts w:ascii="Arial" w:hAnsi="Arial" w:cs="Arial"/>
                <w:color w:val="000000"/>
                <w:sz w:val="16"/>
                <w:szCs w:val="16"/>
                <w:lang w:val="en-US"/>
              </w:rPr>
              <w:t>2,553</w:t>
            </w:r>
          </w:p>
        </w:tc>
        <w:tc>
          <w:tcPr>
            <w:tcW w:w="1153" w:type="dxa"/>
            <w:tcBorders>
              <w:top w:val="single" w:sz="4" w:space="0" w:color="auto"/>
              <w:left w:val="nil"/>
              <w:bottom w:val="single" w:sz="4" w:space="0" w:color="auto"/>
              <w:right w:val="nil"/>
            </w:tcBorders>
            <w:shd w:val="clear" w:color="auto" w:fill="auto"/>
            <w:vAlign w:val="bottom"/>
            <w:hideMark/>
          </w:tcPr>
          <w:p w14:paraId="5C2C00A5" w14:textId="77777777" w:rsidR="00607E1A" w:rsidRPr="00723C25" w:rsidRDefault="00607E1A" w:rsidP="0097553A">
            <w:pPr>
              <w:jc w:val="right"/>
              <w:rPr>
                <w:rFonts w:ascii="Arial" w:hAnsi="Arial" w:cs="Arial"/>
                <w:color w:val="000000"/>
                <w:sz w:val="16"/>
                <w:szCs w:val="16"/>
                <w:lang w:val="en-US"/>
              </w:rPr>
            </w:pPr>
            <w:r w:rsidRPr="00723C25">
              <w:rPr>
                <w:rFonts w:ascii="Arial" w:hAnsi="Arial" w:cs="Arial"/>
                <w:color w:val="000000"/>
                <w:sz w:val="16"/>
                <w:szCs w:val="16"/>
                <w:lang w:val="en-US"/>
              </w:rPr>
              <w:t>1,099,641</w:t>
            </w:r>
          </w:p>
        </w:tc>
        <w:tc>
          <w:tcPr>
            <w:tcW w:w="1009" w:type="dxa"/>
            <w:tcBorders>
              <w:top w:val="single" w:sz="4" w:space="0" w:color="auto"/>
              <w:left w:val="nil"/>
              <w:bottom w:val="single" w:sz="4" w:space="0" w:color="auto"/>
              <w:right w:val="nil"/>
            </w:tcBorders>
            <w:shd w:val="clear" w:color="auto" w:fill="auto"/>
            <w:vAlign w:val="bottom"/>
            <w:hideMark/>
          </w:tcPr>
          <w:p w14:paraId="1F21914F" w14:textId="77777777" w:rsidR="00607E1A" w:rsidRPr="00723C25" w:rsidRDefault="00607E1A" w:rsidP="0097553A">
            <w:pPr>
              <w:jc w:val="right"/>
              <w:rPr>
                <w:rFonts w:ascii="Arial" w:hAnsi="Arial" w:cs="Arial"/>
                <w:sz w:val="16"/>
                <w:szCs w:val="16"/>
                <w:lang w:val="en-US"/>
              </w:rPr>
            </w:pPr>
            <w:r w:rsidRPr="00723C25">
              <w:rPr>
                <w:rFonts w:ascii="Arial" w:hAnsi="Arial" w:cs="Arial"/>
                <w:sz w:val="16"/>
                <w:szCs w:val="16"/>
                <w:lang w:val="en-US"/>
              </w:rPr>
              <w:t>352,821</w:t>
            </w:r>
          </w:p>
        </w:tc>
        <w:tc>
          <w:tcPr>
            <w:tcW w:w="1153" w:type="dxa"/>
            <w:tcBorders>
              <w:top w:val="single" w:sz="4" w:space="0" w:color="auto"/>
              <w:left w:val="nil"/>
              <w:bottom w:val="single" w:sz="4" w:space="0" w:color="auto"/>
              <w:right w:val="nil"/>
            </w:tcBorders>
            <w:shd w:val="clear" w:color="auto" w:fill="auto"/>
            <w:vAlign w:val="bottom"/>
            <w:hideMark/>
          </w:tcPr>
          <w:p w14:paraId="65D05598" w14:textId="77777777" w:rsidR="00607E1A" w:rsidRPr="00723C25" w:rsidRDefault="00607E1A" w:rsidP="0097553A">
            <w:pPr>
              <w:jc w:val="right"/>
              <w:rPr>
                <w:rFonts w:ascii="Arial" w:hAnsi="Arial" w:cs="Arial"/>
                <w:color w:val="000000"/>
                <w:sz w:val="16"/>
                <w:szCs w:val="16"/>
                <w:lang w:val="en-US"/>
              </w:rPr>
            </w:pPr>
            <w:r w:rsidRPr="00723C25">
              <w:rPr>
                <w:rFonts w:ascii="Arial" w:hAnsi="Arial" w:cs="Arial"/>
                <w:color w:val="000000"/>
                <w:sz w:val="16"/>
                <w:szCs w:val="16"/>
                <w:lang w:val="en-US"/>
              </w:rPr>
              <w:t>248,684</w:t>
            </w:r>
          </w:p>
        </w:tc>
        <w:tc>
          <w:tcPr>
            <w:tcW w:w="1449" w:type="dxa"/>
            <w:tcBorders>
              <w:top w:val="single" w:sz="4" w:space="0" w:color="auto"/>
              <w:left w:val="nil"/>
              <w:bottom w:val="single" w:sz="4" w:space="0" w:color="auto"/>
              <w:right w:val="nil"/>
            </w:tcBorders>
            <w:shd w:val="clear" w:color="auto" w:fill="auto"/>
            <w:vAlign w:val="bottom"/>
            <w:hideMark/>
          </w:tcPr>
          <w:p w14:paraId="04709684" w14:textId="78B506CE" w:rsidR="00607E1A" w:rsidRPr="00A7016F" w:rsidRDefault="00607E1A" w:rsidP="0097553A">
            <w:pPr>
              <w:jc w:val="right"/>
              <w:rPr>
                <w:rFonts w:ascii="Arial" w:hAnsi="Arial"/>
                <w:b/>
                <w:color w:val="000000"/>
                <w:sz w:val="16"/>
                <w:lang w:val="en-US"/>
              </w:rPr>
            </w:pPr>
            <w:r w:rsidRPr="00A7016F">
              <w:rPr>
                <w:rFonts w:ascii="Arial" w:hAnsi="Arial"/>
                <w:b/>
                <w:color w:val="000000"/>
                <w:sz w:val="16"/>
                <w:lang w:val="en-US"/>
              </w:rPr>
              <w:t>2,9</w:t>
            </w:r>
            <w:r w:rsidR="002A5926" w:rsidRPr="00A7016F">
              <w:rPr>
                <w:rFonts w:ascii="Arial" w:hAnsi="Arial"/>
                <w:b/>
                <w:color w:val="000000"/>
                <w:sz w:val="16"/>
                <w:lang w:val="en-US"/>
              </w:rPr>
              <w:t>5</w:t>
            </w:r>
            <w:r w:rsidRPr="00A7016F">
              <w:rPr>
                <w:rFonts w:ascii="Arial" w:hAnsi="Arial"/>
                <w:b/>
                <w:color w:val="000000"/>
                <w:sz w:val="16"/>
                <w:lang w:val="en-US"/>
              </w:rPr>
              <w:t>3,698</w:t>
            </w:r>
          </w:p>
        </w:tc>
        <w:tc>
          <w:tcPr>
            <w:tcW w:w="1294" w:type="dxa"/>
            <w:tcBorders>
              <w:top w:val="single" w:sz="4" w:space="0" w:color="auto"/>
              <w:left w:val="nil"/>
              <w:bottom w:val="single" w:sz="4" w:space="0" w:color="auto"/>
              <w:right w:val="nil"/>
            </w:tcBorders>
            <w:shd w:val="clear" w:color="auto" w:fill="auto"/>
            <w:noWrap/>
            <w:vAlign w:val="bottom"/>
            <w:hideMark/>
          </w:tcPr>
          <w:p w14:paraId="6E4B07D0" w14:textId="54235A3E" w:rsidR="00607E1A" w:rsidRPr="00A7016F" w:rsidRDefault="00607E1A" w:rsidP="0097553A">
            <w:pPr>
              <w:jc w:val="right"/>
              <w:rPr>
                <w:rFonts w:ascii="Arial" w:hAnsi="Arial"/>
                <w:b/>
                <w:color w:val="000000"/>
                <w:sz w:val="16"/>
                <w:lang w:val="en-US"/>
              </w:rPr>
            </w:pPr>
            <w:r w:rsidRPr="00A7016F">
              <w:rPr>
                <w:rFonts w:ascii="Arial" w:hAnsi="Arial"/>
                <w:b/>
                <w:color w:val="000000"/>
                <w:sz w:val="16"/>
                <w:lang w:val="en-US"/>
              </w:rPr>
              <w:t>43,</w:t>
            </w:r>
            <w:r w:rsidR="002A5926" w:rsidRPr="00A7016F">
              <w:rPr>
                <w:rFonts w:ascii="Arial" w:hAnsi="Arial"/>
                <w:b/>
                <w:color w:val="000000"/>
                <w:sz w:val="16"/>
                <w:lang w:val="en-US"/>
              </w:rPr>
              <w:t>14</w:t>
            </w:r>
            <w:r w:rsidRPr="00A7016F">
              <w:rPr>
                <w:rFonts w:ascii="Arial" w:hAnsi="Arial"/>
                <w:b/>
                <w:color w:val="000000"/>
                <w:sz w:val="16"/>
                <w:lang w:val="en-US"/>
              </w:rPr>
              <w:t>7,506</w:t>
            </w:r>
          </w:p>
        </w:tc>
      </w:tr>
    </w:tbl>
    <w:p w14:paraId="7F18E93D" w14:textId="77777777" w:rsidR="00DF5145" w:rsidRDefault="00DF5145" w:rsidP="008057CB">
      <w:pPr>
        <w:pStyle w:val="BodyText"/>
        <w:ind w:left="800" w:right="777"/>
        <w:jc w:val="both"/>
        <w:rPr>
          <w:rFonts w:ascii="Arial" w:hAnsi="Arial" w:cs="Arial"/>
          <w:b/>
          <w:bCs/>
        </w:rPr>
      </w:pPr>
    </w:p>
    <w:p w14:paraId="3FE6D3FB" w14:textId="77777777" w:rsidR="00DF5145" w:rsidRDefault="00DF5145" w:rsidP="008057CB">
      <w:pPr>
        <w:pStyle w:val="BodyText"/>
        <w:ind w:left="800" w:right="777"/>
        <w:jc w:val="both"/>
        <w:rPr>
          <w:rFonts w:ascii="Arial" w:hAnsi="Arial" w:cs="Arial"/>
          <w:b/>
          <w:bCs/>
        </w:rPr>
      </w:pPr>
    </w:p>
    <w:p w14:paraId="1CDA3A8F" w14:textId="3B2FC8CD" w:rsidR="008057CB" w:rsidRPr="00F56223" w:rsidRDefault="008057CB" w:rsidP="008057CB">
      <w:pPr>
        <w:pStyle w:val="BodyText"/>
        <w:ind w:left="800" w:right="777"/>
        <w:jc w:val="both"/>
        <w:rPr>
          <w:rFonts w:ascii="Arial" w:hAnsi="Arial" w:cs="Arial"/>
        </w:rPr>
      </w:pPr>
      <w:r w:rsidRPr="00F56223">
        <w:rPr>
          <w:rFonts w:ascii="Arial" w:hAnsi="Arial" w:cs="Arial"/>
          <w:b/>
          <w:bCs/>
        </w:rPr>
        <w:t>Mineral property acquisitions and agreements</w:t>
      </w:r>
      <w:r w:rsidRPr="00F56223">
        <w:rPr>
          <w:rFonts w:ascii="Arial" w:hAnsi="Arial" w:cs="Arial"/>
          <w:b/>
          <w:bCs/>
        </w:rPr>
        <w:tab/>
      </w:r>
    </w:p>
    <w:p w14:paraId="607034A2" w14:textId="77777777" w:rsidR="00E9009E" w:rsidRPr="00F56223" w:rsidRDefault="00E9009E" w:rsidP="00E9009E">
      <w:pPr>
        <w:pStyle w:val="BodyText"/>
        <w:ind w:left="800" w:right="777"/>
        <w:jc w:val="both"/>
        <w:rPr>
          <w:rFonts w:ascii="Arial" w:hAnsi="Arial" w:cs="Arial"/>
        </w:rPr>
      </w:pPr>
    </w:p>
    <w:p w14:paraId="12D77FA9" w14:textId="77777777" w:rsidR="008057CB" w:rsidRPr="00F56223" w:rsidRDefault="008057CB" w:rsidP="00E9009E">
      <w:pPr>
        <w:pStyle w:val="BodyText"/>
        <w:ind w:left="800" w:right="777"/>
        <w:jc w:val="both"/>
        <w:rPr>
          <w:rFonts w:ascii="Arial" w:hAnsi="Arial" w:cs="Arial"/>
          <w:b/>
          <w:bCs/>
        </w:rPr>
      </w:pPr>
      <w:r w:rsidRPr="00F56223">
        <w:rPr>
          <w:rFonts w:ascii="Arial" w:hAnsi="Arial" w:cs="Arial"/>
          <w:b/>
          <w:bCs/>
          <w:u w:val="single"/>
        </w:rPr>
        <w:t>Maine, U.S.A.</w:t>
      </w:r>
    </w:p>
    <w:p w14:paraId="4BA01F97" w14:textId="77777777" w:rsidR="00E9009E" w:rsidRPr="00F56223" w:rsidRDefault="00E9009E" w:rsidP="00E9009E">
      <w:pPr>
        <w:pStyle w:val="BodyText"/>
        <w:ind w:left="800" w:right="777"/>
        <w:jc w:val="both"/>
        <w:rPr>
          <w:rFonts w:ascii="Arial" w:hAnsi="Arial" w:cs="Arial"/>
        </w:rPr>
      </w:pPr>
    </w:p>
    <w:p w14:paraId="40FDAB83" w14:textId="138E982A" w:rsidR="008057CB" w:rsidRPr="00F56223" w:rsidRDefault="008057CB" w:rsidP="00E9009E">
      <w:pPr>
        <w:pStyle w:val="BodyText"/>
        <w:ind w:left="800" w:right="777"/>
        <w:jc w:val="both"/>
        <w:rPr>
          <w:rFonts w:ascii="Arial" w:hAnsi="Arial" w:cs="Arial"/>
          <w:b/>
          <w:bCs/>
          <w:i/>
          <w:iCs/>
        </w:rPr>
      </w:pPr>
      <w:r w:rsidRPr="00F56223">
        <w:rPr>
          <w:rFonts w:ascii="Arial" w:hAnsi="Arial" w:cs="Arial"/>
          <w:b/>
          <w:bCs/>
          <w:i/>
          <w:iCs/>
        </w:rPr>
        <w:t>Pickett Mountain Property</w:t>
      </w:r>
    </w:p>
    <w:p w14:paraId="43BD173E" w14:textId="77777777" w:rsidR="00E9009E" w:rsidRPr="00F56223" w:rsidRDefault="00E9009E" w:rsidP="00E9009E">
      <w:pPr>
        <w:pStyle w:val="BodyText"/>
        <w:ind w:left="800" w:right="777"/>
        <w:jc w:val="both"/>
        <w:rPr>
          <w:rFonts w:ascii="Arial" w:hAnsi="Arial" w:cs="Arial"/>
        </w:rPr>
      </w:pPr>
    </w:p>
    <w:p w14:paraId="34151A7F" w14:textId="0D31F3F4" w:rsidR="008057CB" w:rsidRPr="00F56223" w:rsidRDefault="008057CB" w:rsidP="00BC14CB">
      <w:pPr>
        <w:pStyle w:val="BodyText"/>
        <w:ind w:left="800" w:right="777"/>
        <w:jc w:val="both"/>
        <w:rPr>
          <w:rFonts w:ascii="Arial" w:hAnsi="Arial" w:cs="Arial"/>
        </w:rPr>
      </w:pPr>
      <w:r w:rsidRPr="00F56223">
        <w:rPr>
          <w:rFonts w:ascii="Arial" w:hAnsi="Arial" w:cs="Arial"/>
        </w:rPr>
        <w:t>On November 16, 2017, the Corporation acquired a 100% interest in the Pickett Mountain Property (the “Property”), located in Penobscot County, northern Maine, U.S.A for a cash purchase price of $11,292,055 (US$8.5 million) (the “Acquisition”).</w:t>
      </w:r>
    </w:p>
    <w:p w14:paraId="28A63FF9" w14:textId="77777777" w:rsidR="008057CB" w:rsidRPr="00F56223" w:rsidRDefault="008057CB" w:rsidP="008057CB">
      <w:pPr>
        <w:pStyle w:val="BodyText"/>
        <w:ind w:left="800" w:right="777"/>
        <w:jc w:val="both"/>
        <w:rPr>
          <w:rFonts w:ascii="Arial" w:hAnsi="Arial" w:cs="Arial"/>
        </w:rPr>
      </w:pPr>
    </w:p>
    <w:p w14:paraId="0CF0F207" w14:textId="77777777" w:rsidR="008057CB" w:rsidRPr="00F56223" w:rsidRDefault="008057CB" w:rsidP="000F431E">
      <w:pPr>
        <w:pStyle w:val="BodyText"/>
        <w:ind w:left="799" w:right="777"/>
        <w:jc w:val="both"/>
        <w:rPr>
          <w:rFonts w:ascii="Arial" w:hAnsi="Arial" w:cs="Arial"/>
        </w:rPr>
      </w:pPr>
      <w:r w:rsidRPr="00F56223">
        <w:rPr>
          <w:rFonts w:ascii="Arial" w:hAnsi="Arial" w:cs="Arial"/>
        </w:rPr>
        <w:t>To fund the acquisition of  the Property, the Corporation entered into a Royalty Agreement that granted a 1.35% gross sales royalty on the Property to Altius Resources Inc. (“Altius”), a wholly owned subsidiary of Altius Minerals Corporation, for cash consideration of $7,663,800 (US$6,000,000) and completed a non-brokered private placement (the "Offering") of 20,200,000 subscription receipts ("Subscription Receipts") at a price of $0.25 per Subscription Receipt  for  gross  proceeds  of  $5,050,000,  with  Altius  subscribing  for  14,200,000  Subscription  Receipts.  The subscription receipts were converted into 14,200,000 common shares of the Corporation.</w:t>
      </w:r>
    </w:p>
    <w:p w14:paraId="30F3C3E0" w14:textId="77777777" w:rsidR="008057CB" w:rsidRPr="00F56223" w:rsidRDefault="008057CB" w:rsidP="00BC3DF6">
      <w:pPr>
        <w:pStyle w:val="BodyText"/>
        <w:ind w:left="800" w:right="777"/>
        <w:jc w:val="both"/>
        <w:rPr>
          <w:rFonts w:ascii="Arial" w:hAnsi="Arial" w:cs="Arial"/>
        </w:rPr>
      </w:pPr>
    </w:p>
    <w:p w14:paraId="076E4AED" w14:textId="14AC70B1" w:rsidR="00BC3DF6" w:rsidRPr="00F56223" w:rsidRDefault="00BC3DF6" w:rsidP="00BC3DF6">
      <w:pPr>
        <w:pStyle w:val="BodyText"/>
        <w:ind w:left="800" w:right="777"/>
        <w:jc w:val="both"/>
        <w:rPr>
          <w:rFonts w:ascii="Arial" w:hAnsi="Arial" w:cs="Arial"/>
        </w:rPr>
      </w:pPr>
      <w:r w:rsidRPr="00F56223">
        <w:rPr>
          <w:rFonts w:ascii="Arial" w:hAnsi="Arial" w:cs="Arial"/>
        </w:rPr>
        <w:t xml:space="preserve">Pursuant to the Royalty Agreement, Altius has the option to purchase an additional 0.50% gross sales royalty at any time before the first anniversary of commercial production for US$7,500,000. In addition, the Corporation granted Altius certain rights to convert the Pickett Mountain Royalty to equity under certain terms, or to exchange the royalty for a similar royalty on the Corporation's Orvan Brook property. Furthermore, the Corporation agreed to use its best efforts to </w:t>
      </w:r>
      <w:r w:rsidR="00964A08">
        <w:rPr>
          <w:rFonts w:ascii="Arial" w:hAnsi="Arial" w:cs="Arial"/>
        </w:rPr>
        <w:t xml:space="preserve">sell or </w:t>
      </w:r>
      <w:r w:rsidRPr="00F56223">
        <w:rPr>
          <w:rFonts w:ascii="Arial" w:hAnsi="Arial" w:cs="Arial"/>
        </w:rPr>
        <w:t xml:space="preserve">transfer the timber </w:t>
      </w:r>
      <w:r w:rsidR="00964A08">
        <w:rPr>
          <w:rFonts w:ascii="Arial" w:hAnsi="Arial" w:cs="Arial"/>
        </w:rPr>
        <w:t xml:space="preserve">from the project for </w:t>
      </w:r>
      <w:r w:rsidRPr="00F56223">
        <w:rPr>
          <w:rFonts w:ascii="Arial" w:hAnsi="Arial" w:cs="Arial"/>
        </w:rPr>
        <w:t xml:space="preserve">gross proceeds </w:t>
      </w:r>
      <w:r w:rsidR="00964A08">
        <w:rPr>
          <w:rFonts w:ascii="Arial" w:hAnsi="Arial" w:cs="Arial"/>
        </w:rPr>
        <w:t>of</w:t>
      </w:r>
      <w:r w:rsidRPr="00F56223">
        <w:rPr>
          <w:rFonts w:ascii="Arial" w:hAnsi="Arial" w:cs="Arial"/>
        </w:rPr>
        <w:t xml:space="preserve"> US$5,000,000 or such other amount as agreed to by Wolfden and Altius, acting reasonably (the "Timber Proceeds"). Wolfden is required to pay Altius 20% of the Timber Proceeds</w:t>
      </w:r>
      <w:r w:rsidR="00964A08">
        <w:rPr>
          <w:rFonts w:ascii="Arial" w:hAnsi="Arial" w:cs="Arial"/>
        </w:rPr>
        <w:t>. These terms as shown were amended from the original agreement on October 7, 2020.</w:t>
      </w:r>
    </w:p>
    <w:p w14:paraId="749C646A" w14:textId="77777777" w:rsidR="00E9009E" w:rsidRPr="00F56223" w:rsidRDefault="00E9009E" w:rsidP="00E9009E">
      <w:pPr>
        <w:pStyle w:val="BodyText"/>
        <w:ind w:left="800" w:right="777"/>
        <w:jc w:val="both"/>
        <w:rPr>
          <w:rFonts w:ascii="Arial" w:hAnsi="Arial" w:cs="Arial"/>
        </w:rPr>
      </w:pPr>
    </w:p>
    <w:p w14:paraId="1D94BC5C" w14:textId="184803C2" w:rsidR="00BC3DF6" w:rsidRPr="006F6191" w:rsidRDefault="00EC7814" w:rsidP="00E9009E">
      <w:pPr>
        <w:pStyle w:val="BodyText"/>
        <w:ind w:left="800" w:right="777"/>
        <w:jc w:val="both"/>
        <w:rPr>
          <w:rFonts w:ascii="Arial" w:hAnsi="Arial" w:cs="Arial"/>
          <w:highlight w:val="yellow"/>
        </w:rPr>
      </w:pPr>
      <w:r w:rsidRPr="0004443E">
        <w:rPr>
          <w:rFonts w:ascii="Arial" w:hAnsi="Arial" w:cs="Arial"/>
        </w:rPr>
        <w:t xml:space="preserve">On January 22, 2020, the Corporation secured up to US$4.5 million in non-dilutive funding by selling-forward $5 million worth of timber from its Pickett Mountain Property.  Under the terms of the agreement the Corporation received US$3 </w:t>
      </w:r>
      <w:r w:rsidR="00900296" w:rsidRPr="0004443E">
        <w:rPr>
          <w:rFonts w:ascii="Arial" w:hAnsi="Arial" w:cs="Arial"/>
        </w:rPr>
        <w:t>m</w:t>
      </w:r>
      <w:r w:rsidRPr="0004443E">
        <w:rPr>
          <w:rFonts w:ascii="Arial" w:hAnsi="Arial" w:cs="Arial"/>
        </w:rPr>
        <w:t xml:space="preserve">illion and is entitled to receive an additional US$1.5 million between the 4th and 5th anniversary of the agreement. The timber company has the right to harvest US$5 million of timber from the property over 5 years. </w:t>
      </w:r>
      <w:r w:rsidR="00BC3DF6" w:rsidRPr="0004443E">
        <w:rPr>
          <w:rFonts w:ascii="Arial" w:hAnsi="Arial" w:cs="Arial"/>
        </w:rPr>
        <w:t xml:space="preserve">For the </w:t>
      </w:r>
      <w:r w:rsidR="00A621F7" w:rsidRPr="0004443E">
        <w:rPr>
          <w:rFonts w:ascii="Arial" w:hAnsi="Arial" w:cs="Arial"/>
        </w:rPr>
        <w:t>year</w:t>
      </w:r>
      <w:r w:rsidR="00BC3DF6" w:rsidRPr="0004443E">
        <w:rPr>
          <w:rFonts w:ascii="Arial" w:hAnsi="Arial" w:cs="Arial"/>
        </w:rPr>
        <w:t xml:space="preserve"> ended </w:t>
      </w:r>
      <w:r w:rsidR="00A621F7" w:rsidRPr="0004443E">
        <w:rPr>
          <w:rFonts w:ascii="Arial" w:hAnsi="Arial" w:cs="Arial"/>
        </w:rPr>
        <w:t>December</w:t>
      </w:r>
      <w:r w:rsidR="00BC3DF6" w:rsidRPr="0004443E">
        <w:rPr>
          <w:rFonts w:ascii="Arial" w:hAnsi="Arial" w:cs="Arial"/>
        </w:rPr>
        <w:t xml:space="preserve"> 3</w:t>
      </w:r>
      <w:r w:rsidR="00A621F7" w:rsidRPr="0004443E">
        <w:rPr>
          <w:rFonts w:ascii="Arial" w:hAnsi="Arial" w:cs="Arial"/>
        </w:rPr>
        <w:t>1</w:t>
      </w:r>
      <w:r w:rsidR="00BC3DF6" w:rsidRPr="0004443E">
        <w:rPr>
          <w:rFonts w:ascii="Arial" w:hAnsi="Arial" w:cs="Arial"/>
        </w:rPr>
        <w:t>, 2020, the Corporation recorded net timber sales proceeds of $</w:t>
      </w:r>
      <w:r w:rsidR="005346F1" w:rsidRPr="0004443E">
        <w:rPr>
          <w:rFonts w:ascii="Arial" w:hAnsi="Arial" w:cs="Arial"/>
        </w:rPr>
        <w:t>3</w:t>
      </w:r>
      <w:r w:rsidR="00BC3DF6" w:rsidRPr="0004443E">
        <w:rPr>
          <w:rFonts w:ascii="Arial" w:hAnsi="Arial" w:cs="Arial"/>
        </w:rPr>
        <w:t>,</w:t>
      </w:r>
      <w:r w:rsidR="008E37C8" w:rsidRPr="0004443E">
        <w:rPr>
          <w:rFonts w:ascii="Arial" w:hAnsi="Arial" w:cs="Arial"/>
        </w:rPr>
        <w:t>140,8</w:t>
      </w:r>
      <w:r w:rsidR="00751050" w:rsidRPr="0004443E">
        <w:rPr>
          <w:rFonts w:ascii="Arial" w:hAnsi="Arial" w:cs="Arial"/>
        </w:rPr>
        <w:t>80</w:t>
      </w:r>
      <w:r w:rsidR="005346F1" w:rsidRPr="0004443E">
        <w:rPr>
          <w:rFonts w:ascii="Arial" w:hAnsi="Arial" w:cs="Arial"/>
        </w:rPr>
        <w:t xml:space="preserve"> </w:t>
      </w:r>
      <w:r w:rsidR="00BC3DF6" w:rsidRPr="0004443E">
        <w:rPr>
          <w:rFonts w:ascii="Arial" w:hAnsi="Arial" w:cs="Arial"/>
        </w:rPr>
        <w:t xml:space="preserve">(US$ </w:t>
      </w:r>
      <w:r w:rsidR="008E37C8" w:rsidRPr="0004443E">
        <w:rPr>
          <w:rFonts w:ascii="Arial" w:hAnsi="Arial" w:cs="Arial"/>
        </w:rPr>
        <w:t>2</w:t>
      </w:r>
      <w:r w:rsidR="00BC3DF6" w:rsidRPr="0004443E">
        <w:rPr>
          <w:rFonts w:ascii="Arial" w:hAnsi="Arial" w:cs="Arial"/>
        </w:rPr>
        <w:t>,</w:t>
      </w:r>
      <w:r w:rsidR="008E37C8" w:rsidRPr="0004443E">
        <w:rPr>
          <w:rFonts w:ascii="Arial" w:hAnsi="Arial" w:cs="Arial"/>
        </w:rPr>
        <w:t>4</w:t>
      </w:r>
      <w:r w:rsidR="005346F1" w:rsidRPr="0004443E">
        <w:rPr>
          <w:rFonts w:ascii="Arial" w:hAnsi="Arial" w:cs="Arial"/>
        </w:rPr>
        <w:t>00</w:t>
      </w:r>
      <w:r w:rsidR="00BC3DF6" w:rsidRPr="0004443E">
        <w:rPr>
          <w:rFonts w:ascii="Arial" w:hAnsi="Arial" w:cs="Arial"/>
        </w:rPr>
        <w:t>,</w:t>
      </w:r>
      <w:r w:rsidR="005346F1" w:rsidRPr="0004443E">
        <w:rPr>
          <w:rFonts w:ascii="Arial" w:hAnsi="Arial" w:cs="Arial"/>
        </w:rPr>
        <w:t>000</w:t>
      </w:r>
      <w:r w:rsidR="00BC3DF6" w:rsidRPr="0004443E">
        <w:rPr>
          <w:rFonts w:ascii="Arial" w:hAnsi="Arial" w:cs="Arial"/>
        </w:rPr>
        <w:t xml:space="preserve">), that are net of 20% </w:t>
      </w:r>
      <w:r w:rsidR="008E37C8" w:rsidRPr="0004443E">
        <w:rPr>
          <w:rFonts w:ascii="Arial" w:hAnsi="Arial" w:cs="Arial"/>
        </w:rPr>
        <w:t xml:space="preserve">(US$600,000) that was passed onto </w:t>
      </w:r>
      <w:r w:rsidR="00BC3DF6" w:rsidRPr="0004443E">
        <w:rPr>
          <w:rFonts w:ascii="Arial" w:hAnsi="Arial" w:cs="Arial"/>
        </w:rPr>
        <w:t xml:space="preserve">to Altius as per the </w:t>
      </w:r>
      <w:r w:rsidRPr="0004443E">
        <w:rPr>
          <w:rFonts w:ascii="Arial" w:hAnsi="Arial" w:cs="Arial"/>
        </w:rPr>
        <w:t>Royalty A</w:t>
      </w:r>
      <w:r w:rsidR="00BC3DF6" w:rsidRPr="0004443E">
        <w:rPr>
          <w:rFonts w:ascii="Arial" w:hAnsi="Arial" w:cs="Arial"/>
        </w:rPr>
        <w:t xml:space="preserve">greement (2019 - $252,326).  </w:t>
      </w:r>
      <w:r w:rsidR="00966C51" w:rsidRPr="0004443E">
        <w:rPr>
          <w:rFonts w:ascii="Arial" w:hAnsi="Arial" w:cs="Arial"/>
        </w:rPr>
        <w:t>The entire amount of the proceeds was recognized as no further performance obligation</w:t>
      </w:r>
      <w:r w:rsidR="00900296" w:rsidRPr="0004443E">
        <w:rPr>
          <w:rFonts w:ascii="Arial" w:hAnsi="Arial" w:cs="Arial"/>
        </w:rPr>
        <w:t xml:space="preserve"> is required by the Corporation.  </w:t>
      </w:r>
    </w:p>
    <w:p w14:paraId="6D6C739E" w14:textId="77777777" w:rsidR="00E9009E" w:rsidRPr="00F56223" w:rsidRDefault="00E9009E" w:rsidP="00E9009E">
      <w:pPr>
        <w:pStyle w:val="BodyText"/>
        <w:ind w:left="800" w:right="777"/>
        <w:jc w:val="both"/>
        <w:rPr>
          <w:rFonts w:ascii="Arial" w:hAnsi="Arial" w:cs="Arial"/>
        </w:rPr>
      </w:pPr>
    </w:p>
    <w:p w14:paraId="30597F40" w14:textId="7BB64B2A" w:rsidR="00BC3DF6" w:rsidRDefault="00BC3DF6" w:rsidP="00E9009E">
      <w:pPr>
        <w:pStyle w:val="BodyText"/>
        <w:ind w:left="800" w:right="777"/>
        <w:jc w:val="both"/>
        <w:rPr>
          <w:rFonts w:ascii="Arial" w:hAnsi="Arial" w:cs="Arial"/>
        </w:rPr>
      </w:pPr>
      <w:r w:rsidRPr="0004443E">
        <w:rPr>
          <w:rFonts w:ascii="Arial" w:hAnsi="Arial" w:cs="Arial"/>
        </w:rPr>
        <w:t xml:space="preserve">Pursuant to the Royalty Agreement, Altius has a conversion right and exchange right. </w:t>
      </w:r>
      <w:r w:rsidR="002E7BC4" w:rsidRPr="0004443E">
        <w:rPr>
          <w:rFonts w:ascii="Arial" w:hAnsi="Arial" w:cs="Arial"/>
        </w:rPr>
        <w:t>The Call Right, which related to Alt</w:t>
      </w:r>
      <w:r w:rsidR="00D04481">
        <w:rPr>
          <w:rFonts w:ascii="Arial" w:hAnsi="Arial" w:cs="Arial"/>
        </w:rPr>
        <w:t>i</w:t>
      </w:r>
      <w:r w:rsidR="002E7BC4" w:rsidRPr="0004443E">
        <w:rPr>
          <w:rFonts w:ascii="Arial" w:hAnsi="Arial" w:cs="Arial"/>
        </w:rPr>
        <w:t xml:space="preserve">us’s call option on the Timber Rights, was eliminated in the October 7, 2020 amendment of the </w:t>
      </w:r>
      <w:r w:rsidR="00D04481" w:rsidRPr="0004443E">
        <w:rPr>
          <w:rFonts w:ascii="Arial" w:hAnsi="Arial" w:cs="Arial"/>
        </w:rPr>
        <w:t>Royalty</w:t>
      </w:r>
      <w:r w:rsidR="002E7BC4" w:rsidRPr="0004443E">
        <w:rPr>
          <w:rFonts w:ascii="Arial" w:hAnsi="Arial" w:cs="Arial"/>
        </w:rPr>
        <w:t xml:space="preserve"> Agreement as a direct result of the Corporations January 22, 2020 $4.5 </w:t>
      </w:r>
      <w:r w:rsidR="003851B9">
        <w:rPr>
          <w:rFonts w:ascii="Arial" w:hAnsi="Arial" w:cs="Arial"/>
        </w:rPr>
        <w:t>million</w:t>
      </w:r>
      <w:r w:rsidR="002E7BC4" w:rsidRPr="0004443E">
        <w:rPr>
          <w:rFonts w:ascii="Arial" w:hAnsi="Arial" w:cs="Arial"/>
        </w:rPr>
        <w:t xml:space="preserve"> timber sale agreement which by effect, eliminated the possibility for any potential call option on those Timber Rights.  </w:t>
      </w:r>
      <w:r w:rsidRPr="0004443E">
        <w:rPr>
          <w:rFonts w:ascii="Arial" w:hAnsi="Arial" w:cs="Arial"/>
        </w:rPr>
        <w:t xml:space="preserve">Each </w:t>
      </w:r>
      <w:r w:rsidR="002E7BC4" w:rsidRPr="0004443E">
        <w:rPr>
          <w:rFonts w:ascii="Arial" w:hAnsi="Arial" w:cs="Arial"/>
        </w:rPr>
        <w:t>o</w:t>
      </w:r>
      <w:r w:rsidR="00F54011">
        <w:rPr>
          <w:rFonts w:ascii="Arial" w:hAnsi="Arial" w:cs="Arial"/>
        </w:rPr>
        <w:t>f</w:t>
      </w:r>
      <w:r w:rsidR="002E7BC4" w:rsidRPr="0004443E">
        <w:rPr>
          <w:rFonts w:ascii="Arial" w:hAnsi="Arial" w:cs="Arial"/>
        </w:rPr>
        <w:t xml:space="preserve"> the other two rights are valid and are </w:t>
      </w:r>
      <w:r w:rsidRPr="0004443E">
        <w:rPr>
          <w:rFonts w:ascii="Arial" w:hAnsi="Arial" w:cs="Arial"/>
        </w:rPr>
        <w:t>summarized below</w:t>
      </w:r>
      <w:r w:rsidR="00964A08" w:rsidRPr="0004443E">
        <w:rPr>
          <w:rFonts w:ascii="Arial" w:hAnsi="Arial" w:cs="Arial"/>
        </w:rPr>
        <w:t>.</w:t>
      </w:r>
      <w:r w:rsidR="005B4C4D">
        <w:rPr>
          <w:rFonts w:ascii="Arial" w:hAnsi="Arial" w:cs="Arial"/>
        </w:rPr>
        <w:t xml:space="preserve">  </w:t>
      </w:r>
    </w:p>
    <w:p w14:paraId="4DFCBBED" w14:textId="73C25A0C" w:rsidR="00242904" w:rsidRDefault="00242904" w:rsidP="00BC3DF6">
      <w:pPr>
        <w:pStyle w:val="BodyText"/>
        <w:ind w:left="800" w:right="777"/>
        <w:jc w:val="both"/>
        <w:rPr>
          <w:rFonts w:ascii="Arial" w:hAnsi="Arial" w:cs="Arial"/>
        </w:rPr>
      </w:pPr>
    </w:p>
    <w:p w14:paraId="07C08950" w14:textId="67DBB7B0" w:rsidR="00BC3DF6" w:rsidRPr="00F56223" w:rsidRDefault="00BC3DF6" w:rsidP="00BC3DF6">
      <w:pPr>
        <w:pStyle w:val="BodyText"/>
        <w:ind w:left="800" w:right="777"/>
        <w:jc w:val="both"/>
        <w:rPr>
          <w:rFonts w:ascii="Arial" w:hAnsi="Arial" w:cs="Arial"/>
        </w:rPr>
      </w:pPr>
      <w:r w:rsidRPr="00F56223">
        <w:rPr>
          <w:rFonts w:ascii="Arial" w:hAnsi="Arial" w:cs="Arial"/>
          <w:i/>
          <w:iCs/>
        </w:rPr>
        <w:t>Conversion Right</w:t>
      </w:r>
    </w:p>
    <w:p w14:paraId="2B802086" w14:textId="77777777" w:rsidR="00E9009E" w:rsidRPr="00F56223" w:rsidRDefault="00E9009E" w:rsidP="00E9009E">
      <w:pPr>
        <w:pStyle w:val="BodyText"/>
        <w:ind w:left="800" w:right="777"/>
        <w:jc w:val="both"/>
        <w:rPr>
          <w:rFonts w:ascii="Arial" w:hAnsi="Arial" w:cs="Arial"/>
        </w:rPr>
      </w:pPr>
    </w:p>
    <w:p w14:paraId="1323C45D" w14:textId="5C5D0829" w:rsidR="001B14C4" w:rsidRPr="006F6191" w:rsidRDefault="00BC3DF6" w:rsidP="00E9009E">
      <w:pPr>
        <w:pStyle w:val="BodyText"/>
        <w:ind w:left="800" w:right="777"/>
        <w:jc w:val="both"/>
        <w:rPr>
          <w:rFonts w:ascii="Arial" w:hAnsi="Arial" w:cs="Arial"/>
          <w:highlight w:val="yellow"/>
        </w:rPr>
      </w:pPr>
      <w:r w:rsidRPr="00F56223">
        <w:rPr>
          <w:rFonts w:ascii="Arial" w:hAnsi="Arial" w:cs="Arial"/>
        </w:rPr>
        <w:t xml:space="preserve">At any time after November 14, 2023, Altius will have the right to convert the Pickett Mountain Royalty, in accordance with the terms </w:t>
      </w:r>
      <w:r w:rsidR="008346A7" w:rsidRPr="00F56223">
        <w:rPr>
          <w:rFonts w:ascii="Arial" w:hAnsi="Arial" w:cs="Arial"/>
        </w:rPr>
        <w:t>of the</w:t>
      </w:r>
      <w:r w:rsidRPr="00F56223">
        <w:rPr>
          <w:rFonts w:ascii="Arial" w:hAnsi="Arial" w:cs="Arial"/>
        </w:rPr>
        <w:t xml:space="preserve"> Royalty Agreement, to cash or Common Shares, or a combination thereof (the "Conversion Right"). </w:t>
      </w:r>
      <w:r w:rsidR="00E527B5">
        <w:rPr>
          <w:rFonts w:ascii="Arial" w:hAnsi="Arial" w:cs="Arial"/>
        </w:rPr>
        <w:t xml:space="preserve">As December 31, </w:t>
      </w:r>
      <w:proofErr w:type="gramStart"/>
      <w:r w:rsidR="00E527B5">
        <w:rPr>
          <w:rFonts w:ascii="Arial" w:hAnsi="Arial" w:cs="Arial"/>
        </w:rPr>
        <w:t>2023</w:t>
      </w:r>
      <w:proofErr w:type="gramEnd"/>
      <w:r w:rsidR="00E527B5">
        <w:rPr>
          <w:rFonts w:ascii="Arial" w:hAnsi="Arial" w:cs="Arial"/>
        </w:rPr>
        <w:t xml:space="preserve"> Altius has not elected to exercise its conversion right.  </w:t>
      </w:r>
      <w:r w:rsidRPr="00F56223">
        <w:rPr>
          <w:rFonts w:ascii="Arial" w:hAnsi="Arial" w:cs="Arial"/>
        </w:rPr>
        <w:t>Upon the exercise of the Conversion Right, the Common Share consideration to be received by Altius will be equal to the lesser of: (a) the number of Common Shares that is equal in Royalty Value; and (b) the number of Common Shares that does not exceed 19.99% of all outstanding Common Shares on a partially diluted basis. The remaining balance of the Royalty Value is to be paid to Altius in cash. Under the Royalty Agreement, "Royalty Value" means an amount equal to the aggregate of: (</w:t>
      </w:r>
      <w:proofErr w:type="spellStart"/>
      <w:r w:rsidRPr="00F56223">
        <w:rPr>
          <w:rFonts w:ascii="Arial" w:hAnsi="Arial" w:cs="Arial"/>
        </w:rPr>
        <w:t>i</w:t>
      </w:r>
      <w:proofErr w:type="spellEnd"/>
      <w:r w:rsidRPr="00F56223">
        <w:rPr>
          <w:rFonts w:ascii="Arial" w:hAnsi="Arial" w:cs="Arial"/>
        </w:rPr>
        <w:t xml:space="preserve">) all amounts paid by Altius to Wolfden (including the </w:t>
      </w:r>
      <w:r w:rsidR="008346A7" w:rsidRPr="00F56223">
        <w:rPr>
          <w:rFonts w:ascii="Arial" w:hAnsi="Arial" w:cs="Arial"/>
        </w:rPr>
        <w:t>purchase price</w:t>
      </w:r>
      <w:r w:rsidRPr="00F56223">
        <w:rPr>
          <w:rFonts w:ascii="Arial" w:hAnsi="Arial" w:cs="Arial"/>
        </w:rPr>
        <w:t xml:space="preserve"> consideration paid by Altius) in respect of the Pickett Mountain Royalty, minus (ii) all </w:t>
      </w:r>
      <w:r w:rsidR="00964A08">
        <w:rPr>
          <w:rFonts w:ascii="Arial" w:hAnsi="Arial" w:cs="Arial"/>
        </w:rPr>
        <w:t xml:space="preserve">timber </w:t>
      </w:r>
      <w:r w:rsidRPr="00F56223">
        <w:rPr>
          <w:rFonts w:ascii="Arial" w:hAnsi="Arial" w:cs="Arial"/>
        </w:rPr>
        <w:t>Proceeds received by Altius, minus (iii) all other payments received by Altius in respect of the Pickett Mountain Royalty. The Common Share conversion price is the greater of: (</w:t>
      </w:r>
      <w:proofErr w:type="spellStart"/>
      <w:r w:rsidRPr="00F56223">
        <w:rPr>
          <w:rFonts w:ascii="Arial" w:hAnsi="Arial" w:cs="Arial"/>
        </w:rPr>
        <w:t>i</w:t>
      </w:r>
      <w:proofErr w:type="spellEnd"/>
      <w:r w:rsidRPr="00F56223">
        <w:rPr>
          <w:rFonts w:ascii="Arial" w:hAnsi="Arial" w:cs="Arial"/>
        </w:rPr>
        <w:t>) $0.05 per Common Share; and (ii) the volume weighted average trading price of the Common Shares on the TSXV (or any other principal exchange on which the Common Shares are</w:t>
      </w:r>
      <w:r w:rsidR="007E7A41">
        <w:rPr>
          <w:rFonts w:ascii="Arial" w:hAnsi="Arial" w:cs="Arial"/>
        </w:rPr>
        <w:t xml:space="preserve"> </w:t>
      </w:r>
      <w:r w:rsidRPr="00F56223">
        <w:rPr>
          <w:rFonts w:ascii="Arial" w:hAnsi="Arial" w:cs="Arial"/>
        </w:rPr>
        <w:t>trading) for the twenty consecutive trading days immediately preceding the date of the exercise of the Conversion Right.  Upon</w:t>
      </w:r>
      <w:r w:rsidR="002451AA">
        <w:rPr>
          <w:rFonts w:ascii="Arial" w:hAnsi="Arial" w:cs="Arial"/>
        </w:rPr>
        <w:t xml:space="preserve"> </w:t>
      </w:r>
      <w:r w:rsidRPr="00F56223">
        <w:rPr>
          <w:rFonts w:ascii="Arial" w:hAnsi="Arial" w:cs="Arial"/>
        </w:rPr>
        <w:t xml:space="preserve">the exercise of the Conversion Right and satisfaction of the payment thereof by Wolfden, any remaining Escrowed Proceeds </w:t>
      </w:r>
      <w:r w:rsidR="007E7A41" w:rsidRPr="00F56223">
        <w:rPr>
          <w:rFonts w:ascii="Arial" w:hAnsi="Arial" w:cs="Arial"/>
        </w:rPr>
        <w:t>will be</w:t>
      </w:r>
      <w:r w:rsidRPr="00F56223">
        <w:rPr>
          <w:rFonts w:ascii="Arial" w:hAnsi="Arial" w:cs="Arial"/>
        </w:rPr>
        <w:t xml:space="preserve"> released to Wolfden.</w:t>
      </w:r>
    </w:p>
    <w:p w14:paraId="48316F1A" w14:textId="77777777" w:rsidR="00E9009E" w:rsidRPr="00F56223" w:rsidRDefault="00E9009E" w:rsidP="00E9009E">
      <w:pPr>
        <w:pStyle w:val="BodyText"/>
        <w:ind w:left="800" w:right="777"/>
        <w:jc w:val="both"/>
        <w:rPr>
          <w:rFonts w:ascii="Arial" w:hAnsi="Arial" w:cs="Arial"/>
        </w:rPr>
      </w:pPr>
    </w:p>
    <w:p w14:paraId="392D3817" w14:textId="77777777" w:rsidR="001B14C4" w:rsidRDefault="001B14C4" w:rsidP="00E9009E">
      <w:pPr>
        <w:widowControl w:val="0"/>
        <w:autoSpaceDE w:val="0"/>
        <w:autoSpaceDN w:val="0"/>
        <w:rPr>
          <w:rFonts w:ascii="Arial" w:hAnsi="Arial" w:cs="Arial"/>
          <w:i/>
          <w:iCs/>
          <w:sz w:val="16"/>
          <w:szCs w:val="16"/>
        </w:rPr>
      </w:pPr>
      <w:r>
        <w:rPr>
          <w:rFonts w:ascii="Arial" w:hAnsi="Arial" w:cs="Arial"/>
          <w:i/>
          <w:iCs/>
        </w:rPr>
        <w:br w:type="page"/>
      </w:r>
    </w:p>
    <w:p w14:paraId="2C4B5F60" w14:textId="77777777" w:rsidR="001B14C4" w:rsidRDefault="001B14C4" w:rsidP="006F4A02">
      <w:pPr>
        <w:pStyle w:val="BodyText"/>
        <w:ind w:left="800" w:right="777"/>
        <w:jc w:val="both"/>
        <w:rPr>
          <w:rFonts w:ascii="Arial" w:hAnsi="Arial" w:cs="Arial"/>
          <w:i/>
          <w:iCs/>
        </w:rPr>
      </w:pPr>
    </w:p>
    <w:p w14:paraId="48A8164C" w14:textId="77777777" w:rsidR="001B14C4" w:rsidRDefault="001B14C4" w:rsidP="006F4A02">
      <w:pPr>
        <w:pStyle w:val="BodyText"/>
        <w:ind w:left="800" w:right="777"/>
        <w:jc w:val="both"/>
        <w:rPr>
          <w:rFonts w:ascii="Arial" w:hAnsi="Arial" w:cs="Arial"/>
          <w:i/>
          <w:iCs/>
        </w:rPr>
      </w:pPr>
    </w:p>
    <w:p w14:paraId="67C1B629" w14:textId="6296A796" w:rsidR="006F4A02" w:rsidRPr="00F56223" w:rsidRDefault="006F4A02" w:rsidP="006F4A02">
      <w:pPr>
        <w:pStyle w:val="BodyText"/>
        <w:ind w:left="800" w:right="777"/>
        <w:jc w:val="both"/>
        <w:rPr>
          <w:rFonts w:ascii="Arial" w:hAnsi="Arial" w:cs="Arial"/>
        </w:rPr>
      </w:pPr>
      <w:r w:rsidRPr="00F56223">
        <w:rPr>
          <w:rFonts w:ascii="Arial" w:hAnsi="Arial" w:cs="Arial"/>
          <w:i/>
          <w:iCs/>
        </w:rPr>
        <w:t>Exchange Right</w:t>
      </w:r>
    </w:p>
    <w:p w14:paraId="2DD2E4F3" w14:textId="77777777" w:rsidR="00E9009E" w:rsidRPr="00F56223" w:rsidRDefault="00E9009E" w:rsidP="00E9009E">
      <w:pPr>
        <w:pStyle w:val="BodyText"/>
        <w:ind w:left="800" w:right="777"/>
        <w:jc w:val="both"/>
        <w:rPr>
          <w:rFonts w:ascii="Arial" w:hAnsi="Arial" w:cs="Arial"/>
        </w:rPr>
      </w:pPr>
    </w:p>
    <w:p w14:paraId="0B9FF747" w14:textId="77777777" w:rsidR="006F4A02" w:rsidRPr="0004443E" w:rsidRDefault="006F4A02" w:rsidP="00E9009E">
      <w:pPr>
        <w:pStyle w:val="BodyText"/>
        <w:ind w:left="800" w:right="777"/>
        <w:jc w:val="both"/>
        <w:rPr>
          <w:rFonts w:ascii="Arial" w:hAnsi="Arial" w:cs="Arial"/>
        </w:rPr>
      </w:pPr>
      <w:r w:rsidRPr="0004443E">
        <w:rPr>
          <w:rFonts w:ascii="Arial" w:hAnsi="Arial" w:cs="Arial"/>
        </w:rPr>
        <w:t>Under the Royalty Agreement, Altius has the right to exchange the Pickett Mountain Royalty to a gross sales royalty in respect of the Orvan Brook property, which will be calculated and payable on the same terms as the terms of the Pickett Mountain Royalty in effect on the date of exchange, mutatis mutandis.</w:t>
      </w:r>
    </w:p>
    <w:p w14:paraId="65D4BFE7" w14:textId="77777777" w:rsidR="00E9009E" w:rsidRPr="00F56223" w:rsidRDefault="00E9009E" w:rsidP="00E9009E">
      <w:pPr>
        <w:pStyle w:val="BodyText"/>
        <w:ind w:left="800" w:right="777"/>
        <w:jc w:val="both"/>
        <w:rPr>
          <w:rFonts w:ascii="Arial" w:hAnsi="Arial" w:cs="Arial"/>
        </w:rPr>
      </w:pPr>
    </w:p>
    <w:p w14:paraId="6BBD7AC1" w14:textId="003F02E3" w:rsidR="006F4A02" w:rsidRPr="0004443E" w:rsidRDefault="003B2CC3" w:rsidP="00E9009E">
      <w:pPr>
        <w:pStyle w:val="BodyText"/>
        <w:ind w:left="800" w:right="777"/>
        <w:jc w:val="both"/>
        <w:rPr>
          <w:rFonts w:ascii="Arial" w:hAnsi="Arial" w:cs="Arial"/>
        </w:rPr>
      </w:pPr>
      <w:r>
        <w:rPr>
          <w:rFonts w:ascii="Arial" w:hAnsi="Arial" w:cs="Arial"/>
        </w:rPr>
        <w:t xml:space="preserve">In </w:t>
      </w:r>
      <w:r w:rsidR="006F4A02" w:rsidRPr="0004443E">
        <w:rPr>
          <w:rFonts w:ascii="Arial" w:hAnsi="Arial" w:cs="Arial"/>
        </w:rPr>
        <w:t>2019, Altius and Wolfden agreed to an amendment to their Offering and Subscription Agreements, dated November 14, 2017 whereby during any period when the common shares of Wolfden are trading on the Toronto Stock Exchange Venture Exchange at a volume-weighted average trading price of not less than $0.60 per common share for at least 20 consecutive trading days, it will, upon written request by Wolfden during such period, exercise its warrants. Altius currently holds 7,100,000 Wolfden common share purchase warrants priced at $0.35 per share with a termination date of November 15, 2022.</w:t>
      </w:r>
    </w:p>
    <w:p w14:paraId="5F1B30D4" w14:textId="77777777" w:rsidR="006F4A02" w:rsidRPr="0004443E" w:rsidRDefault="006F4A02" w:rsidP="006F4A02">
      <w:pPr>
        <w:pStyle w:val="BodyText"/>
        <w:ind w:left="800" w:right="777"/>
        <w:jc w:val="both"/>
        <w:rPr>
          <w:rFonts w:ascii="Arial" w:hAnsi="Arial" w:cs="Arial"/>
        </w:rPr>
      </w:pPr>
    </w:p>
    <w:p w14:paraId="312D1274" w14:textId="77777777" w:rsidR="006F4A02" w:rsidRPr="0004443E" w:rsidRDefault="006F4A02" w:rsidP="006F4A02">
      <w:pPr>
        <w:pStyle w:val="BodyText"/>
        <w:ind w:left="800" w:right="777"/>
        <w:jc w:val="both"/>
        <w:rPr>
          <w:rFonts w:ascii="Arial" w:hAnsi="Arial" w:cs="Arial"/>
          <w:i/>
          <w:iCs/>
        </w:rPr>
      </w:pPr>
      <w:r w:rsidRPr="0004443E">
        <w:rPr>
          <w:rFonts w:ascii="Arial" w:hAnsi="Arial" w:cs="Arial"/>
          <w:i/>
          <w:iCs/>
        </w:rPr>
        <w:t>Timber Agreements</w:t>
      </w:r>
    </w:p>
    <w:p w14:paraId="2929B306" w14:textId="77777777" w:rsidR="006F4A02" w:rsidRPr="0004443E" w:rsidRDefault="006F4A02" w:rsidP="006F4A02">
      <w:pPr>
        <w:pStyle w:val="BodyText"/>
        <w:ind w:left="800" w:right="777"/>
        <w:jc w:val="both"/>
        <w:rPr>
          <w:rFonts w:ascii="Arial" w:hAnsi="Arial" w:cs="Arial"/>
          <w:i/>
          <w:iCs/>
        </w:rPr>
      </w:pPr>
    </w:p>
    <w:p w14:paraId="3FC5C093" w14:textId="799C9534" w:rsidR="006F4A02" w:rsidRPr="0004443E" w:rsidRDefault="006C293D" w:rsidP="006C293D">
      <w:pPr>
        <w:pStyle w:val="BodyText"/>
        <w:ind w:left="800" w:right="778"/>
        <w:jc w:val="both"/>
        <w:rPr>
          <w:rFonts w:ascii="Arial" w:hAnsi="Arial" w:cs="Arial"/>
        </w:rPr>
      </w:pPr>
      <w:r w:rsidRPr="00C45EF1">
        <w:rPr>
          <w:rFonts w:ascii="Arial" w:hAnsi="Arial" w:cs="Arial"/>
        </w:rPr>
        <w:t xml:space="preserve">On January 22, 2020, the Corporation secured up to US$4.5 million in non-dilutive funding for its exploration projects by selling-forward timber from its wholly owned Pickett Mountain Zn-Pb-Cu-Ag-Au Project in Maine, USA.  Under the terms of a </w:t>
      </w:r>
      <w:r w:rsidR="00AA20F7" w:rsidRPr="00C45EF1">
        <w:rPr>
          <w:rFonts w:ascii="Arial" w:hAnsi="Arial" w:cs="Arial"/>
        </w:rPr>
        <w:t>5-year</w:t>
      </w:r>
      <w:r w:rsidRPr="00C45EF1">
        <w:rPr>
          <w:rFonts w:ascii="Arial" w:hAnsi="Arial" w:cs="Arial"/>
        </w:rPr>
        <w:t xml:space="preserve"> stumpage agreement with a privately owned Maine timber company, the Corporation received US$3 million upon closing and is entitled to receive an additional US$1.5 million between the 4th and 5th anniversary of the agreement. The timber company has the right to harvest US$5 million of timber from the property over 5 years. In addition, the timber company also granted Wolfden an option to earn a 100% interest (less an NSR) in the mineral rights of the property that adjoins Pickett Mountain as well as long-term road access rights for the current forest road used to reach the Pickett Mountain deposit from the state highway</w:t>
      </w:r>
      <w:r w:rsidRPr="00C45EF1">
        <w:rPr>
          <w:rFonts w:ascii="Arial" w:hAnsi="Arial" w:cs="Arial"/>
          <w:spacing w:val="-1"/>
        </w:rPr>
        <w:t xml:space="preserve"> </w:t>
      </w:r>
      <w:r w:rsidRPr="00C45EF1">
        <w:rPr>
          <w:rFonts w:ascii="Arial" w:hAnsi="Arial" w:cs="Arial"/>
        </w:rPr>
        <w:t>#11.As part of the Altius Royalty agreement on Pickett Mt., dated November 2017 and as amended on October 7, 2020 and on</w:t>
      </w:r>
      <w:r w:rsidRPr="00C45EF1">
        <w:rPr>
          <w:rFonts w:ascii="Arial" w:hAnsi="Arial" w:cs="Arial"/>
          <w:color w:val="000000" w:themeColor="text1"/>
        </w:rPr>
        <w:t xml:space="preserve"> February 8, 2022, Altius and the Corporation executed an amendment to their Pickett Mountain Royalty Agreement where Altius increased its royalty for the payment of US$1 million to the Corporation on signing.  As per the terms of the agreement, Altius will receive the next US$1.2 million in net timber revenues and thereafter increases its future timber royalties from 20% to 30</w:t>
      </w:r>
      <w:proofErr w:type="gramStart"/>
      <w:r w:rsidRPr="00C45EF1">
        <w:rPr>
          <w:rFonts w:ascii="Arial" w:hAnsi="Arial" w:cs="Arial"/>
          <w:color w:val="000000" w:themeColor="text1"/>
        </w:rPr>
        <w:t>%.The</w:t>
      </w:r>
      <w:proofErr w:type="gramEnd"/>
      <w:r w:rsidRPr="00C45EF1">
        <w:rPr>
          <w:rFonts w:ascii="Arial" w:hAnsi="Arial" w:cs="Arial"/>
          <w:color w:val="000000" w:themeColor="text1"/>
        </w:rPr>
        <w:t xml:space="preserve"> 30% royalty will also apply to any revenue generated from the sale of any timber related carbon credits from the Property.</w:t>
      </w:r>
      <w:r w:rsidRPr="00C45EF1">
        <w:rPr>
          <w:rFonts w:ascii="Arial" w:hAnsi="Arial" w:cs="Arial"/>
        </w:rPr>
        <w:t xml:space="preserve"> </w:t>
      </w:r>
    </w:p>
    <w:p w14:paraId="2E1E9206" w14:textId="77777777" w:rsidR="00E9009E" w:rsidRPr="00F56223" w:rsidRDefault="00E9009E" w:rsidP="00E9009E">
      <w:pPr>
        <w:pStyle w:val="BodyText"/>
        <w:ind w:left="800" w:right="777"/>
        <w:jc w:val="both"/>
        <w:rPr>
          <w:rFonts w:ascii="Arial" w:hAnsi="Arial" w:cs="Arial"/>
        </w:rPr>
      </w:pPr>
    </w:p>
    <w:p w14:paraId="7D8FDFFA" w14:textId="77777777" w:rsidR="00BC3DF6" w:rsidRPr="0004443E" w:rsidRDefault="00BC3DF6" w:rsidP="00E9009E">
      <w:pPr>
        <w:pStyle w:val="BodyText"/>
        <w:ind w:left="800" w:right="777"/>
        <w:jc w:val="both"/>
        <w:rPr>
          <w:rFonts w:ascii="Arial" w:hAnsi="Arial" w:cs="Arial"/>
          <w:b/>
          <w:bCs/>
          <w:i/>
          <w:iCs/>
        </w:rPr>
      </w:pPr>
      <w:r w:rsidRPr="0004443E">
        <w:rPr>
          <w:rFonts w:ascii="Arial" w:hAnsi="Arial" w:cs="Arial"/>
          <w:b/>
          <w:bCs/>
          <w:i/>
          <w:iCs/>
        </w:rPr>
        <w:t>Other properties, Maine USA</w:t>
      </w:r>
    </w:p>
    <w:p w14:paraId="18025FB6" w14:textId="77777777" w:rsidR="00E9009E" w:rsidRPr="00F56223" w:rsidRDefault="00E9009E" w:rsidP="00E9009E">
      <w:pPr>
        <w:pStyle w:val="BodyText"/>
        <w:ind w:left="800" w:right="777"/>
        <w:jc w:val="both"/>
        <w:rPr>
          <w:rFonts w:ascii="Arial" w:hAnsi="Arial" w:cs="Arial"/>
        </w:rPr>
      </w:pPr>
    </w:p>
    <w:p w14:paraId="27D43372" w14:textId="21C9C76D" w:rsidR="00BC3DF6" w:rsidRPr="00CA797A" w:rsidRDefault="00BC3DF6" w:rsidP="00E9009E">
      <w:pPr>
        <w:pStyle w:val="BodyText"/>
        <w:ind w:left="800" w:right="777"/>
        <w:jc w:val="both"/>
        <w:rPr>
          <w:rFonts w:ascii="Arial" w:hAnsi="Arial" w:cs="Arial"/>
        </w:rPr>
      </w:pPr>
      <w:r w:rsidRPr="0004443E">
        <w:rPr>
          <w:rFonts w:ascii="Arial" w:hAnsi="Arial" w:cs="Arial"/>
        </w:rPr>
        <w:t>On April 6, 2019, the Corporation's U.S. subsidiary entered into a mineral rights earn-in ag</w:t>
      </w:r>
      <w:r w:rsidR="00105AEF" w:rsidRPr="0004443E">
        <w:rPr>
          <w:rFonts w:ascii="Arial" w:hAnsi="Arial" w:cs="Arial"/>
        </w:rPr>
        <w:t>r</w:t>
      </w:r>
      <w:r w:rsidRPr="0004443E">
        <w:rPr>
          <w:rFonts w:ascii="Arial" w:hAnsi="Arial" w:cs="Arial"/>
        </w:rPr>
        <w:t>eement on a property located in Maine, U.S.A. The agreement call</w:t>
      </w:r>
      <w:r w:rsidR="00DC15B6" w:rsidRPr="0004443E">
        <w:rPr>
          <w:rFonts w:ascii="Arial" w:hAnsi="Arial" w:cs="Arial"/>
        </w:rPr>
        <w:t>ed</w:t>
      </w:r>
      <w:r w:rsidRPr="0004443E">
        <w:rPr>
          <w:rFonts w:ascii="Arial" w:hAnsi="Arial" w:cs="Arial"/>
        </w:rPr>
        <w:t xml:space="preserve"> first </w:t>
      </w:r>
      <w:r w:rsidR="005A6147" w:rsidRPr="0004443E">
        <w:rPr>
          <w:rFonts w:ascii="Arial" w:hAnsi="Arial" w:cs="Arial"/>
        </w:rPr>
        <w:t xml:space="preserve">and second </w:t>
      </w:r>
      <w:r w:rsidRPr="0004443E">
        <w:rPr>
          <w:rFonts w:ascii="Arial" w:hAnsi="Arial" w:cs="Arial"/>
        </w:rPr>
        <w:t xml:space="preserve">year </w:t>
      </w:r>
      <w:r w:rsidR="00DC15B6" w:rsidRPr="0004443E">
        <w:rPr>
          <w:rFonts w:ascii="Arial" w:hAnsi="Arial" w:cs="Arial"/>
        </w:rPr>
        <w:t xml:space="preserve">lease </w:t>
      </w:r>
      <w:r w:rsidRPr="0004443E">
        <w:rPr>
          <w:rFonts w:ascii="Arial" w:hAnsi="Arial" w:cs="Arial"/>
        </w:rPr>
        <w:t>payment</w:t>
      </w:r>
      <w:r w:rsidR="00DC15B6" w:rsidRPr="0004443E">
        <w:rPr>
          <w:rFonts w:ascii="Arial" w:hAnsi="Arial" w:cs="Arial"/>
        </w:rPr>
        <w:t>s</w:t>
      </w:r>
      <w:r w:rsidRPr="0004443E">
        <w:rPr>
          <w:rFonts w:ascii="Arial" w:hAnsi="Arial" w:cs="Arial"/>
        </w:rPr>
        <w:t xml:space="preserve"> of $25,000 USD</w:t>
      </w:r>
      <w:r w:rsidR="005A6147" w:rsidRPr="0004443E">
        <w:rPr>
          <w:rFonts w:ascii="Arial" w:hAnsi="Arial" w:cs="Arial"/>
        </w:rPr>
        <w:t>, both of which have been paid</w:t>
      </w:r>
      <w:r w:rsidRPr="0004443E">
        <w:rPr>
          <w:rFonts w:ascii="Arial" w:hAnsi="Arial" w:cs="Arial"/>
        </w:rPr>
        <w:t>.</w:t>
      </w:r>
      <w:r w:rsidR="00CA797A">
        <w:rPr>
          <w:rFonts w:ascii="Arial" w:hAnsi="Arial" w:cs="Arial"/>
        </w:rPr>
        <w:t xml:space="preserve"> </w:t>
      </w:r>
      <w:r w:rsidR="00CA797A" w:rsidRPr="00382BF1">
        <w:rPr>
          <w:rFonts w:ascii="Arial" w:hAnsi="Arial" w:cs="Arial"/>
        </w:rPr>
        <w:t xml:space="preserve">The agreement has been amended such that the annual payments have been reduced to $5,000. </w:t>
      </w:r>
    </w:p>
    <w:p w14:paraId="6F5E8432" w14:textId="77777777" w:rsidR="00E9009E" w:rsidRPr="00F56223" w:rsidRDefault="00E9009E" w:rsidP="00E9009E">
      <w:pPr>
        <w:pStyle w:val="BodyText"/>
        <w:ind w:left="800" w:right="777"/>
        <w:jc w:val="both"/>
        <w:rPr>
          <w:rFonts w:ascii="Arial" w:hAnsi="Arial" w:cs="Arial"/>
        </w:rPr>
      </w:pPr>
    </w:p>
    <w:p w14:paraId="4509BF4B" w14:textId="1E0FCB98" w:rsidR="00497542" w:rsidRPr="00CA797A" w:rsidRDefault="00497542" w:rsidP="00E9009E">
      <w:pPr>
        <w:pStyle w:val="BodyText"/>
        <w:ind w:left="800" w:right="777"/>
        <w:jc w:val="both"/>
        <w:rPr>
          <w:rFonts w:ascii="Arial" w:hAnsi="Arial" w:cs="Arial"/>
        </w:rPr>
      </w:pPr>
      <w:r w:rsidRPr="00C45EF1">
        <w:rPr>
          <w:rFonts w:ascii="Arial" w:hAnsi="Arial" w:cs="Arial"/>
        </w:rPr>
        <w:t xml:space="preserve">On November 30, 2020, the Corporation’s U.S. subsidiary entered into a mineral rights earn-in agreement on a property in Maine referred to as the Big Silver Project.  The agreement called for a first-year payment of $50,000 which has been paid.  </w:t>
      </w:r>
      <w:r w:rsidR="00CA797A" w:rsidRPr="00382BF1">
        <w:rPr>
          <w:rFonts w:ascii="Arial" w:hAnsi="Arial" w:cs="Arial"/>
        </w:rPr>
        <w:t>The Corporation and the Optionee has agreed to place the project and the option agreem</w:t>
      </w:r>
      <w:r w:rsidR="00CA797A">
        <w:rPr>
          <w:rFonts w:ascii="Arial" w:hAnsi="Arial" w:cs="Arial"/>
        </w:rPr>
        <w:t>en</w:t>
      </w:r>
      <w:r w:rsidR="00CA797A" w:rsidRPr="00382BF1">
        <w:rPr>
          <w:rFonts w:ascii="Arial" w:hAnsi="Arial" w:cs="Arial"/>
        </w:rPr>
        <w:t>t on hold</w:t>
      </w:r>
      <w:r w:rsidR="00CA797A">
        <w:rPr>
          <w:rFonts w:ascii="Arial" w:hAnsi="Arial" w:cs="Arial"/>
        </w:rPr>
        <w:t xml:space="preserve"> until such time the Pickett Project can proceed</w:t>
      </w:r>
      <w:r w:rsidR="00D70802">
        <w:rPr>
          <w:rFonts w:ascii="Arial" w:hAnsi="Arial" w:cs="Arial"/>
        </w:rPr>
        <w:t xml:space="preserve">. </w:t>
      </w:r>
    </w:p>
    <w:p w14:paraId="0625B35C" w14:textId="77777777" w:rsidR="00E9009E" w:rsidRPr="00F56223" w:rsidRDefault="00E9009E" w:rsidP="00E9009E">
      <w:pPr>
        <w:pStyle w:val="BodyText"/>
        <w:ind w:left="800" w:right="777"/>
        <w:jc w:val="both"/>
        <w:rPr>
          <w:rFonts w:ascii="Arial" w:hAnsi="Arial" w:cs="Arial"/>
        </w:rPr>
      </w:pPr>
    </w:p>
    <w:p w14:paraId="5E1042B2" w14:textId="77777777" w:rsidR="00BC3DF6" w:rsidRPr="00F56223" w:rsidRDefault="00BC3DF6" w:rsidP="00E9009E">
      <w:pPr>
        <w:pStyle w:val="BodyText"/>
        <w:ind w:left="800" w:right="777"/>
        <w:jc w:val="both"/>
        <w:rPr>
          <w:rFonts w:ascii="Arial" w:hAnsi="Arial" w:cs="Arial"/>
          <w:b/>
          <w:bCs/>
          <w:u w:val="single"/>
        </w:rPr>
      </w:pPr>
      <w:r w:rsidRPr="00F56223">
        <w:rPr>
          <w:rFonts w:ascii="Arial" w:hAnsi="Arial" w:cs="Arial"/>
          <w:b/>
          <w:bCs/>
          <w:u w:val="single"/>
        </w:rPr>
        <w:t>New Brunswick, Canada</w:t>
      </w:r>
    </w:p>
    <w:p w14:paraId="711678D0" w14:textId="77777777" w:rsidR="00E9009E" w:rsidRPr="00F56223" w:rsidRDefault="00E9009E" w:rsidP="00E9009E">
      <w:pPr>
        <w:pStyle w:val="BodyText"/>
        <w:ind w:left="800" w:right="777"/>
        <w:jc w:val="both"/>
        <w:rPr>
          <w:rFonts w:ascii="Arial" w:hAnsi="Arial" w:cs="Arial"/>
        </w:rPr>
      </w:pPr>
    </w:p>
    <w:p w14:paraId="71E5EF20" w14:textId="77777777" w:rsidR="00BC3DF6" w:rsidRPr="00F56223" w:rsidRDefault="00BC3DF6" w:rsidP="00E9009E">
      <w:pPr>
        <w:pStyle w:val="BodyText"/>
        <w:ind w:left="800" w:right="777"/>
        <w:jc w:val="both"/>
        <w:rPr>
          <w:rFonts w:ascii="Arial" w:hAnsi="Arial" w:cs="Arial"/>
          <w:b/>
          <w:bCs/>
        </w:rPr>
      </w:pPr>
      <w:r w:rsidRPr="00F56223">
        <w:rPr>
          <w:rFonts w:ascii="Arial" w:hAnsi="Arial" w:cs="Arial"/>
          <w:b/>
          <w:bCs/>
          <w:i/>
          <w:iCs/>
        </w:rPr>
        <w:t>Tetagouche Property</w:t>
      </w:r>
    </w:p>
    <w:p w14:paraId="51277092" w14:textId="77777777" w:rsidR="00E9009E" w:rsidRPr="00F56223" w:rsidRDefault="00E9009E" w:rsidP="00E9009E">
      <w:pPr>
        <w:pStyle w:val="BodyText"/>
        <w:ind w:left="800" w:right="777"/>
        <w:jc w:val="both"/>
        <w:rPr>
          <w:rFonts w:ascii="Arial" w:hAnsi="Arial" w:cs="Arial"/>
        </w:rPr>
      </w:pPr>
    </w:p>
    <w:p w14:paraId="37F96099" w14:textId="2F1185B8" w:rsidR="00EF6204" w:rsidRPr="00C45EF1" w:rsidRDefault="00EF6204" w:rsidP="00E9009E">
      <w:pPr>
        <w:pStyle w:val="BodyText"/>
        <w:ind w:left="800" w:right="777"/>
        <w:jc w:val="both"/>
        <w:rPr>
          <w:rFonts w:ascii="Arial" w:hAnsi="Arial" w:cs="Arial"/>
        </w:rPr>
      </w:pPr>
      <w:r w:rsidRPr="00C45EF1">
        <w:rPr>
          <w:rFonts w:ascii="Arial" w:hAnsi="Arial" w:cs="Arial"/>
        </w:rPr>
        <w:t>On January 6, 2014, the Corporation closed a definitive purchase agreement (the ""Agreement"") to acquire a large strategic land package (the ""Property"") situated in the Bathurst Mining Camp and surrounding area in northeastern New Brunswick. Wolfden acquired the Property from 8100896 Canada Inc., a wholly owned subsidiary of GeoVenCap Inc. (the “Vendor”).  Pursuant to the terms of the Agreement, the Corporation purchased all of the Vendor's right, title and interest to and in the Property for cash consideration of $125,000 and 571,428 common shares of Corporation (the "Consideration Shares") having a value of $100,000. The Consideration Shares were subject to a four month hold period under applicable securities laws in Canada.</w:t>
      </w:r>
    </w:p>
    <w:p w14:paraId="165FC773" w14:textId="0B596064" w:rsidR="0040137D" w:rsidRDefault="0040137D" w:rsidP="009A6719">
      <w:pPr>
        <w:pStyle w:val="BodyText"/>
        <w:ind w:left="800" w:right="777"/>
        <w:jc w:val="both"/>
        <w:rPr>
          <w:rFonts w:ascii="Arial" w:hAnsi="Arial" w:cs="Arial"/>
          <w:b/>
          <w:bCs/>
          <w:i/>
          <w:iCs/>
        </w:rPr>
      </w:pPr>
    </w:p>
    <w:p w14:paraId="28ACF24E" w14:textId="77777777" w:rsidR="00B41ACC" w:rsidRPr="0004443E" w:rsidRDefault="00B41ACC" w:rsidP="00B41ACC">
      <w:pPr>
        <w:pStyle w:val="BodyText"/>
        <w:ind w:left="800" w:right="777"/>
        <w:jc w:val="both"/>
        <w:rPr>
          <w:rFonts w:ascii="Arial" w:hAnsi="Arial" w:cs="Arial"/>
          <w:b/>
          <w:bCs/>
        </w:rPr>
      </w:pPr>
      <w:r w:rsidRPr="0004443E">
        <w:rPr>
          <w:rFonts w:ascii="Arial" w:hAnsi="Arial" w:cs="Arial"/>
          <w:b/>
          <w:bCs/>
          <w:i/>
          <w:iCs/>
        </w:rPr>
        <w:t>Orvan Brook Property</w:t>
      </w:r>
    </w:p>
    <w:p w14:paraId="5C415359" w14:textId="77777777" w:rsidR="00E9009E" w:rsidRPr="00F56223" w:rsidRDefault="00E9009E" w:rsidP="00E9009E">
      <w:pPr>
        <w:pStyle w:val="BodyText"/>
        <w:ind w:left="800" w:right="777"/>
        <w:jc w:val="both"/>
        <w:rPr>
          <w:rFonts w:ascii="Arial" w:hAnsi="Arial" w:cs="Arial"/>
        </w:rPr>
      </w:pPr>
    </w:p>
    <w:p w14:paraId="425B4620" w14:textId="11EF06D1" w:rsidR="00B41ACC" w:rsidRPr="0004443E" w:rsidRDefault="00F01315" w:rsidP="00E9009E">
      <w:pPr>
        <w:pStyle w:val="BodyText"/>
        <w:ind w:left="800" w:right="777"/>
        <w:jc w:val="both"/>
        <w:rPr>
          <w:rFonts w:ascii="Arial" w:hAnsi="Arial" w:cs="Arial"/>
          <w:b/>
          <w:bCs/>
          <w:i/>
          <w:iCs/>
        </w:rPr>
      </w:pPr>
      <w:r w:rsidRPr="00C45EF1">
        <w:rPr>
          <w:rFonts w:ascii="Arial" w:hAnsi="Arial" w:cs="Arial"/>
        </w:rPr>
        <w:t xml:space="preserve">On January 3, 2017, the Corporation acquired through claim staking the Orvan Brook property located in the Bathurst Mining Camp, west of the town of Bathurst, New Brunswick. Orvan Brook is included under the Tetagouche </w:t>
      </w:r>
      <w:r w:rsidR="006F196D" w:rsidRPr="00C45EF1">
        <w:rPr>
          <w:rFonts w:ascii="Arial" w:hAnsi="Arial" w:cs="Arial"/>
        </w:rPr>
        <w:t>Properties.</w:t>
      </w:r>
    </w:p>
    <w:p w14:paraId="7ED3A3CE" w14:textId="77777777" w:rsidR="00B41ACC" w:rsidRPr="0004443E" w:rsidRDefault="00B41ACC" w:rsidP="009A6719">
      <w:pPr>
        <w:pStyle w:val="BodyText"/>
        <w:ind w:left="800" w:right="777"/>
        <w:jc w:val="both"/>
        <w:rPr>
          <w:rFonts w:ascii="Arial" w:hAnsi="Arial" w:cs="Arial"/>
          <w:b/>
          <w:bCs/>
          <w:i/>
          <w:iCs/>
        </w:rPr>
      </w:pPr>
    </w:p>
    <w:p w14:paraId="0E26DA6B" w14:textId="77777777" w:rsidR="009A6719" w:rsidRPr="00F56223" w:rsidRDefault="009A6719" w:rsidP="009A6719">
      <w:pPr>
        <w:pStyle w:val="BodyText"/>
        <w:ind w:left="800" w:right="777"/>
        <w:jc w:val="both"/>
        <w:rPr>
          <w:rFonts w:ascii="Arial" w:hAnsi="Arial" w:cs="Arial"/>
          <w:b/>
          <w:bCs/>
        </w:rPr>
      </w:pPr>
      <w:r w:rsidRPr="0004443E">
        <w:rPr>
          <w:rFonts w:ascii="Arial" w:hAnsi="Arial" w:cs="Arial"/>
          <w:b/>
          <w:bCs/>
          <w:i/>
          <w:iCs/>
        </w:rPr>
        <w:t>Clarence Stream Property Agreements</w:t>
      </w:r>
    </w:p>
    <w:p w14:paraId="2EC525A1" w14:textId="77777777" w:rsidR="00E9009E" w:rsidRPr="00F56223" w:rsidRDefault="00E9009E" w:rsidP="00E9009E">
      <w:pPr>
        <w:pStyle w:val="BodyText"/>
        <w:ind w:left="800" w:right="777"/>
        <w:jc w:val="both"/>
        <w:rPr>
          <w:rFonts w:ascii="Arial" w:hAnsi="Arial" w:cs="Arial"/>
        </w:rPr>
      </w:pPr>
    </w:p>
    <w:p w14:paraId="78D33A3A" w14:textId="77777777" w:rsidR="00E61414" w:rsidRDefault="00C12F0B" w:rsidP="00E9009E">
      <w:pPr>
        <w:pStyle w:val="BodyText"/>
        <w:ind w:left="800" w:right="777"/>
        <w:jc w:val="both"/>
        <w:rPr>
          <w:rFonts w:ascii="Arial" w:hAnsi="Arial" w:cs="Arial"/>
        </w:rPr>
      </w:pPr>
      <w:r w:rsidRPr="00C45EF1">
        <w:rPr>
          <w:rFonts w:ascii="Arial" w:hAnsi="Arial" w:cs="Arial"/>
        </w:rPr>
        <w:t xml:space="preserve">On August 2, 2016, the Corporation entered into a definitive option agreement with 2520885 Ontario Inc. and Galway Metals Inc., whereby </w:t>
      </w:r>
      <w:r>
        <w:rPr>
          <w:rFonts w:ascii="Arial" w:hAnsi="Arial" w:cs="Arial"/>
        </w:rPr>
        <w:t>Galway could earn a 100% interest in the property</w:t>
      </w:r>
      <w:r w:rsidRPr="00C45EF1">
        <w:rPr>
          <w:rFonts w:ascii="Arial" w:hAnsi="Arial" w:cs="Arial"/>
        </w:rPr>
        <w:t>, located in southwestern New Brunswick.</w:t>
      </w:r>
    </w:p>
    <w:p w14:paraId="40A6DDA4" w14:textId="77777777" w:rsidR="00E61414" w:rsidRDefault="00E61414" w:rsidP="009873AD">
      <w:pPr>
        <w:pStyle w:val="BodyText"/>
        <w:ind w:left="800" w:right="777"/>
        <w:jc w:val="both"/>
        <w:rPr>
          <w:rFonts w:ascii="Arial" w:hAnsi="Arial" w:cs="Arial"/>
        </w:rPr>
      </w:pPr>
    </w:p>
    <w:p w14:paraId="5D85D33D" w14:textId="6B70873D" w:rsidR="00382BF1" w:rsidRDefault="00382BF1">
      <w:pPr>
        <w:widowControl w:val="0"/>
        <w:autoSpaceDE w:val="0"/>
        <w:autoSpaceDN w:val="0"/>
        <w:rPr>
          <w:rFonts w:ascii="Arial" w:hAnsi="Arial" w:cs="Arial"/>
          <w:sz w:val="16"/>
          <w:szCs w:val="16"/>
        </w:rPr>
      </w:pPr>
      <w:r>
        <w:rPr>
          <w:rFonts w:ascii="Arial" w:hAnsi="Arial" w:cs="Arial"/>
        </w:rPr>
        <w:br w:type="page"/>
      </w:r>
    </w:p>
    <w:p w14:paraId="7F098716" w14:textId="77777777" w:rsidR="00DF5145" w:rsidRDefault="00DF5145" w:rsidP="009873AD">
      <w:pPr>
        <w:pStyle w:val="BodyText"/>
        <w:ind w:left="800" w:right="777"/>
        <w:jc w:val="both"/>
        <w:rPr>
          <w:rFonts w:ascii="Arial" w:hAnsi="Arial" w:cs="Arial"/>
        </w:rPr>
      </w:pPr>
    </w:p>
    <w:p w14:paraId="67306C21" w14:textId="77777777" w:rsidR="00464A7D" w:rsidRDefault="00464A7D" w:rsidP="009873AD">
      <w:pPr>
        <w:pStyle w:val="BodyText"/>
        <w:ind w:left="800" w:right="777"/>
        <w:jc w:val="both"/>
        <w:rPr>
          <w:rFonts w:ascii="Arial" w:hAnsi="Arial" w:cs="Arial"/>
        </w:rPr>
      </w:pPr>
    </w:p>
    <w:p w14:paraId="20F7C1C2" w14:textId="6886C0BB" w:rsidR="009873AD" w:rsidRPr="00F56223" w:rsidRDefault="009873AD" w:rsidP="00E61414">
      <w:pPr>
        <w:pStyle w:val="BodyText"/>
        <w:ind w:left="800" w:right="777"/>
        <w:jc w:val="both"/>
        <w:rPr>
          <w:rFonts w:ascii="Arial" w:hAnsi="Arial" w:cs="Arial"/>
        </w:rPr>
      </w:pPr>
      <w:r>
        <w:rPr>
          <w:rFonts w:ascii="Arial" w:hAnsi="Arial" w:cs="Arial"/>
        </w:rPr>
        <w:t xml:space="preserve">As per the terms of the agreement, and as of July 9, </w:t>
      </w:r>
      <w:r w:rsidR="00E61414">
        <w:rPr>
          <w:rFonts w:ascii="Arial" w:hAnsi="Arial" w:cs="Arial"/>
        </w:rPr>
        <w:t>2019,</w:t>
      </w:r>
      <w:r>
        <w:rPr>
          <w:rFonts w:ascii="Arial" w:hAnsi="Arial" w:cs="Arial"/>
        </w:rPr>
        <w:t xml:space="preserve"> Galway successfully completed exploration expenditures and made </w:t>
      </w:r>
      <w:r w:rsidRPr="00C45EF1">
        <w:rPr>
          <w:rFonts w:ascii="Arial" w:hAnsi="Arial" w:cs="Arial"/>
        </w:rPr>
        <w:t xml:space="preserve">cash payments to Wolfden totaling $3,250,000 </w:t>
      </w:r>
      <w:r>
        <w:rPr>
          <w:rFonts w:ascii="Arial" w:hAnsi="Arial" w:cs="Arial"/>
        </w:rPr>
        <w:t xml:space="preserve">to earn a 100% interest in the property less a </w:t>
      </w:r>
      <w:r w:rsidRPr="00C45EF1">
        <w:rPr>
          <w:rFonts w:ascii="Arial" w:hAnsi="Arial" w:cs="Arial"/>
        </w:rPr>
        <w:t xml:space="preserve">1% Net Smelter Return Royalty </w:t>
      </w:r>
      <w:r>
        <w:rPr>
          <w:rFonts w:ascii="Arial" w:hAnsi="Arial" w:cs="Arial"/>
        </w:rPr>
        <w:t xml:space="preserve">held by Wolfden that can </w:t>
      </w:r>
      <w:r w:rsidRPr="00C45EF1">
        <w:rPr>
          <w:rFonts w:ascii="Arial" w:hAnsi="Arial" w:cs="Arial"/>
        </w:rPr>
        <w:t>purchase</w:t>
      </w:r>
      <w:r>
        <w:rPr>
          <w:rFonts w:ascii="Arial" w:hAnsi="Arial" w:cs="Arial"/>
        </w:rPr>
        <w:t>d</w:t>
      </w:r>
      <w:r w:rsidRPr="00C45EF1">
        <w:rPr>
          <w:rFonts w:ascii="Arial" w:hAnsi="Arial" w:cs="Arial"/>
        </w:rPr>
        <w:t xml:space="preserve"> at any time for the sum of $2,000,000.</w:t>
      </w:r>
    </w:p>
    <w:p w14:paraId="5278EB67" w14:textId="77777777" w:rsidR="00E9009E" w:rsidRPr="00F56223" w:rsidRDefault="00E9009E" w:rsidP="00E9009E">
      <w:pPr>
        <w:pStyle w:val="BodyText"/>
        <w:ind w:left="800" w:right="777"/>
        <w:jc w:val="both"/>
        <w:rPr>
          <w:rFonts w:ascii="Arial" w:hAnsi="Arial" w:cs="Arial"/>
        </w:rPr>
      </w:pPr>
    </w:p>
    <w:p w14:paraId="0DA5BE8E" w14:textId="77777777" w:rsidR="00A5315A" w:rsidRPr="00F56223" w:rsidRDefault="00A5315A" w:rsidP="00E9009E">
      <w:pPr>
        <w:pStyle w:val="BodyText"/>
        <w:ind w:left="800" w:right="777"/>
        <w:jc w:val="both"/>
        <w:rPr>
          <w:rFonts w:ascii="Arial" w:hAnsi="Arial" w:cs="Arial"/>
          <w:b/>
          <w:bCs/>
        </w:rPr>
      </w:pPr>
      <w:r w:rsidRPr="00F56223">
        <w:rPr>
          <w:rFonts w:ascii="Arial" w:hAnsi="Arial" w:cs="Arial"/>
          <w:b/>
          <w:bCs/>
          <w:i/>
          <w:iCs/>
        </w:rPr>
        <w:t>Brunswick No. 6 West Property</w:t>
      </w:r>
    </w:p>
    <w:p w14:paraId="10E5945A" w14:textId="77777777" w:rsidR="00E9009E" w:rsidRPr="00F56223" w:rsidRDefault="00E9009E" w:rsidP="00E9009E">
      <w:pPr>
        <w:pStyle w:val="BodyText"/>
        <w:ind w:left="800" w:right="777"/>
        <w:jc w:val="both"/>
        <w:rPr>
          <w:rFonts w:ascii="Arial" w:hAnsi="Arial" w:cs="Arial"/>
        </w:rPr>
      </w:pPr>
    </w:p>
    <w:p w14:paraId="5B087257" w14:textId="38DA17A9" w:rsidR="00A5315A" w:rsidRPr="00F56223" w:rsidRDefault="00A5315A" w:rsidP="00E9009E">
      <w:pPr>
        <w:pStyle w:val="BodyText"/>
        <w:ind w:left="800" w:right="777"/>
        <w:jc w:val="both"/>
        <w:rPr>
          <w:rFonts w:ascii="Arial" w:hAnsi="Arial" w:cs="Arial"/>
        </w:rPr>
      </w:pPr>
      <w:r w:rsidRPr="00F56223">
        <w:rPr>
          <w:rFonts w:ascii="Arial" w:hAnsi="Arial" w:cs="Arial"/>
        </w:rPr>
        <w:t>On April 29, 2015, the Corporation acquired, by claim staking, the Brunswick No. 6 West property (the “Property). The wholly owned Property is located southwest of the City of Bathurst, in the heart of the Bathurst Mining Camp.</w:t>
      </w:r>
    </w:p>
    <w:p w14:paraId="5A5F30F2" w14:textId="77777777" w:rsidR="00E9009E" w:rsidRPr="00F56223" w:rsidRDefault="00E9009E" w:rsidP="00E9009E">
      <w:pPr>
        <w:pStyle w:val="BodyText"/>
        <w:ind w:left="800" w:right="777"/>
        <w:jc w:val="both"/>
        <w:rPr>
          <w:rFonts w:ascii="Arial" w:hAnsi="Arial" w:cs="Arial"/>
        </w:rPr>
      </w:pPr>
    </w:p>
    <w:p w14:paraId="0AC28B9B" w14:textId="77777777" w:rsidR="00464A7D" w:rsidRPr="00F56223" w:rsidRDefault="004A2CBB" w:rsidP="00E9009E">
      <w:pPr>
        <w:pStyle w:val="BodyText"/>
        <w:ind w:left="800" w:right="777"/>
        <w:jc w:val="both"/>
        <w:rPr>
          <w:rFonts w:ascii="Arial" w:hAnsi="Arial" w:cs="Arial"/>
        </w:rPr>
      </w:pPr>
      <w:r w:rsidRPr="004A2CBB">
        <w:rPr>
          <w:rFonts w:ascii="Arial" w:hAnsi="Arial" w:cs="Arial"/>
          <w:b/>
          <w:bCs/>
          <w:u w:val="single"/>
        </w:rPr>
        <w:t>Manitoba Nickel Properties, Canada</w:t>
      </w:r>
    </w:p>
    <w:p w14:paraId="591DDE98" w14:textId="77777777" w:rsidR="00E527B5" w:rsidRDefault="00E527B5" w:rsidP="00A5315A">
      <w:pPr>
        <w:pStyle w:val="BodyText"/>
        <w:ind w:left="800" w:right="777"/>
        <w:jc w:val="both"/>
        <w:rPr>
          <w:rFonts w:ascii="Arial" w:hAnsi="Arial" w:cs="Arial"/>
          <w:b/>
          <w:bCs/>
          <w:i/>
          <w:iCs/>
        </w:rPr>
      </w:pPr>
    </w:p>
    <w:p w14:paraId="0415B01F" w14:textId="632337BB" w:rsidR="00A5315A" w:rsidRPr="00F56223" w:rsidRDefault="00A5315A" w:rsidP="00A5315A">
      <w:pPr>
        <w:pStyle w:val="BodyText"/>
        <w:ind w:left="800" w:right="777"/>
        <w:jc w:val="both"/>
        <w:rPr>
          <w:rFonts w:ascii="Arial" w:hAnsi="Arial" w:cs="Arial"/>
          <w:b/>
          <w:bCs/>
        </w:rPr>
      </w:pPr>
      <w:r w:rsidRPr="00F56223">
        <w:rPr>
          <w:rFonts w:ascii="Arial" w:hAnsi="Arial" w:cs="Arial"/>
          <w:b/>
          <w:bCs/>
          <w:i/>
          <w:iCs/>
        </w:rPr>
        <w:t>Rice Island Property</w:t>
      </w:r>
    </w:p>
    <w:p w14:paraId="0E0113BF" w14:textId="77777777" w:rsidR="00E9009E" w:rsidRPr="00F56223" w:rsidRDefault="00E9009E" w:rsidP="00E9009E">
      <w:pPr>
        <w:pStyle w:val="BodyText"/>
        <w:ind w:left="800" w:right="777"/>
        <w:jc w:val="both"/>
        <w:rPr>
          <w:rFonts w:ascii="Arial" w:hAnsi="Arial" w:cs="Arial"/>
        </w:rPr>
      </w:pPr>
    </w:p>
    <w:p w14:paraId="0320C315" w14:textId="77777777" w:rsidR="00E527B5" w:rsidRPr="00F56223" w:rsidRDefault="00E527B5" w:rsidP="00E9009E">
      <w:pPr>
        <w:pStyle w:val="BodyText"/>
        <w:ind w:left="800" w:right="777"/>
        <w:jc w:val="both"/>
        <w:rPr>
          <w:rFonts w:ascii="Arial" w:hAnsi="Arial" w:cs="Arial"/>
        </w:rPr>
      </w:pPr>
      <w:r w:rsidRPr="00F56223">
        <w:rPr>
          <w:rFonts w:ascii="Arial" w:hAnsi="Arial" w:cs="Arial"/>
        </w:rPr>
        <w:t xml:space="preserve">On September 15, 2015, the Corporation acquired a 100% interest in the Rice Island nickel-copper deposit situated on the Rice Island property (the "Property") through claim staking. The Property </w:t>
      </w:r>
      <w:proofErr w:type="gramStart"/>
      <w:r w:rsidRPr="00F56223">
        <w:rPr>
          <w:rFonts w:ascii="Arial" w:hAnsi="Arial" w:cs="Arial"/>
        </w:rPr>
        <w:t>is located in</w:t>
      </w:r>
      <w:proofErr w:type="gramEnd"/>
      <w:r w:rsidRPr="00F56223">
        <w:rPr>
          <w:rFonts w:ascii="Arial" w:hAnsi="Arial" w:cs="Arial"/>
        </w:rPr>
        <w:t xml:space="preserve"> west-central Manitoba at Wekusko Lake, just east of the Snow Lake concentrator complex owned by Hudbay Minerals Inc.</w:t>
      </w:r>
    </w:p>
    <w:p w14:paraId="1AE8BF65" w14:textId="77777777" w:rsidR="00E527B5" w:rsidRPr="00F56223" w:rsidRDefault="00E527B5" w:rsidP="00E527B5">
      <w:pPr>
        <w:pStyle w:val="BodyText"/>
        <w:ind w:left="800" w:right="777"/>
        <w:jc w:val="both"/>
        <w:rPr>
          <w:rFonts w:ascii="Arial" w:hAnsi="Arial" w:cs="Arial"/>
        </w:rPr>
      </w:pPr>
    </w:p>
    <w:p w14:paraId="6E033319" w14:textId="5E6D6C6B" w:rsidR="00E527B5" w:rsidRDefault="00E527B5" w:rsidP="00E527B5">
      <w:pPr>
        <w:pStyle w:val="BodyText"/>
        <w:ind w:left="800" w:right="777"/>
        <w:jc w:val="both"/>
        <w:rPr>
          <w:rFonts w:ascii="Arial" w:hAnsi="Arial" w:cs="Arial"/>
        </w:rPr>
      </w:pPr>
      <w:r w:rsidRPr="00F56223">
        <w:rPr>
          <w:rFonts w:ascii="Arial" w:hAnsi="Arial" w:cs="Arial"/>
        </w:rPr>
        <w:t xml:space="preserve">During the fourth quarter of 2015, a Notice of Dispute (the "Notice") was filed with the Province of Manitoba with respect to the Rice Island, Manitoba claims.  Specifically, the Notice states that an individual (the "Disputant") has taken the position that one of the claims recorded in favour of Wolfden is invalid due to the existence of the Disputant's claims on the land prior to Wolfden's staking of the claim.  Wolfden has responded to the Notice and is confident that it has clear and legal title to the subject claim as confirmed by the issuing of the recording certificate by the Manitoba </w:t>
      </w:r>
      <w:r w:rsidRPr="004A12C8">
        <w:rPr>
          <w:rFonts w:ascii="Arial" w:hAnsi="Arial" w:cs="Arial"/>
        </w:rPr>
        <w:t>Mining Recorder.   This matter was brought to a resolution in conjunction with the signing of the Rice Island Tie-On Property ("RITOP") agreement described below.</w:t>
      </w:r>
      <w:r w:rsidRPr="00F56223">
        <w:rPr>
          <w:rFonts w:ascii="Arial" w:hAnsi="Arial" w:cs="Arial"/>
        </w:rPr>
        <w:t xml:space="preserve"> On September 21, 2016, the Corporation entered into an option agreement to expand the Rice Island property by earning a 100% interest in the Rice Island Tie-On Property, located adjacent to Wolfden's existing Rice Island property.   Under terms of the option agreement with the Vendor, to earn</w:t>
      </w:r>
      <w:r>
        <w:rPr>
          <w:rFonts w:ascii="Arial" w:hAnsi="Arial" w:cs="Arial"/>
        </w:rPr>
        <w:t xml:space="preserve"> </w:t>
      </w:r>
      <w:r w:rsidRPr="00F56223">
        <w:rPr>
          <w:rFonts w:ascii="Arial" w:hAnsi="Arial" w:cs="Arial"/>
        </w:rPr>
        <w:t xml:space="preserve">a 100% interest in the RITOP, the Corporation must make cash payments totaling $250,000 and issue 500,000 common shares of Wolfden annually over a five-year period, on or before the anniversary date of the signing of the agreement.  A $25,000 cash payment and the issuance of 100,000 common shares was completed on signing.   In addition, the Corporation must incur $1,000,000 in exploration expenditures over the same </w:t>
      </w:r>
      <w:proofErr w:type="gramStart"/>
      <w:r w:rsidRPr="00F56223">
        <w:rPr>
          <w:rFonts w:ascii="Arial" w:hAnsi="Arial" w:cs="Arial"/>
        </w:rPr>
        <w:t>five year</w:t>
      </w:r>
      <w:proofErr w:type="gramEnd"/>
      <w:r w:rsidRPr="00F56223">
        <w:rPr>
          <w:rFonts w:ascii="Arial" w:hAnsi="Arial" w:cs="Arial"/>
        </w:rPr>
        <w:t xml:space="preserve"> period including $100,000 in the first year. As </w:t>
      </w:r>
      <w:proofErr w:type="gramStart"/>
      <w:r w:rsidRPr="00F56223">
        <w:rPr>
          <w:rFonts w:ascii="Arial" w:hAnsi="Arial" w:cs="Arial"/>
        </w:rPr>
        <w:t>at</w:t>
      </w:r>
      <w:proofErr w:type="gramEnd"/>
      <w:r w:rsidRPr="00F56223">
        <w:rPr>
          <w:rFonts w:ascii="Arial" w:hAnsi="Arial" w:cs="Arial"/>
        </w:rPr>
        <w:t xml:space="preserve"> December 31, 2019, the exploration commitments have been completed</w:t>
      </w:r>
      <w:r>
        <w:rPr>
          <w:rFonts w:ascii="Arial" w:hAnsi="Arial" w:cs="Arial"/>
        </w:rPr>
        <w:t xml:space="preserve"> </w:t>
      </w:r>
      <w:r w:rsidRPr="00D80A71">
        <w:rPr>
          <w:rFonts w:ascii="Arial" w:hAnsi="Arial" w:cs="Arial"/>
        </w:rPr>
        <w:t>and, in 2021 the cash annual cash payments to earn into the project were completed.  Starting in September 2022, a cash payment of $50,000 as an advance royalty payment, shall be paid to a maximum of $250,000.</w:t>
      </w:r>
      <w:r>
        <w:rPr>
          <w:rFonts w:ascii="Arial" w:hAnsi="Arial" w:cs="Arial"/>
        </w:rPr>
        <w:t xml:space="preserve"> Under amendments to the original agreement, the first and second payments were deferred to January 2023 and January 2024</w:t>
      </w:r>
    </w:p>
    <w:p w14:paraId="0BCC39C6" w14:textId="77777777" w:rsidR="00E527B5" w:rsidRDefault="00E527B5" w:rsidP="00E527B5">
      <w:pPr>
        <w:pStyle w:val="BodyText"/>
        <w:ind w:left="800" w:right="777"/>
        <w:jc w:val="both"/>
        <w:rPr>
          <w:rFonts w:ascii="Arial" w:hAnsi="Arial" w:cs="Arial"/>
        </w:rPr>
      </w:pPr>
    </w:p>
    <w:p w14:paraId="34D125CA" w14:textId="77777777" w:rsidR="00E527B5" w:rsidRPr="00F56223" w:rsidRDefault="00E527B5" w:rsidP="00E527B5">
      <w:pPr>
        <w:pStyle w:val="BodyText"/>
        <w:ind w:left="800" w:right="777"/>
        <w:jc w:val="both"/>
        <w:rPr>
          <w:rFonts w:ascii="Arial" w:hAnsi="Arial" w:cs="Arial"/>
        </w:rPr>
      </w:pPr>
      <w:r w:rsidRPr="00F56223">
        <w:rPr>
          <w:rFonts w:ascii="Arial" w:hAnsi="Arial" w:cs="Arial"/>
        </w:rPr>
        <w:t>Upon earning a 100% interest in the RITOP, the Vendor retains a 2.5% Net Smelter Royalty on the RITOP as well as on the Rice Island property; of which, Wolfden can purchase 1.5% of the Net Smelter Royalty for the sum of $1,500,000 (0.5% increments at $500,000 per each increment) for each of the properties.  Wolfden also retains the right of first refusal on the remaining 1.0% Net Smelter Royalty held by the Vendor for each of the RITOP and Rice Island property.</w:t>
      </w:r>
    </w:p>
    <w:p w14:paraId="56A38D73" w14:textId="77777777" w:rsidR="00E527B5" w:rsidRDefault="00E527B5" w:rsidP="00E527B5">
      <w:pPr>
        <w:pStyle w:val="BodyText"/>
        <w:ind w:left="800" w:right="777"/>
        <w:jc w:val="both"/>
        <w:rPr>
          <w:rFonts w:ascii="Arial" w:hAnsi="Arial" w:cs="Arial"/>
          <w:b/>
          <w:bCs/>
        </w:rPr>
      </w:pPr>
    </w:p>
    <w:p w14:paraId="0E2458B2" w14:textId="15D630B0" w:rsidR="00A5315A" w:rsidRPr="00A10E12" w:rsidRDefault="00A15174" w:rsidP="00A5315A">
      <w:pPr>
        <w:pStyle w:val="BodyText"/>
        <w:ind w:left="800" w:right="777"/>
        <w:jc w:val="both"/>
        <w:rPr>
          <w:rFonts w:ascii="Arial" w:hAnsi="Arial" w:cs="Arial"/>
        </w:rPr>
      </w:pPr>
      <w:r w:rsidRPr="00A10E12">
        <w:rPr>
          <w:rFonts w:ascii="Arial" w:hAnsi="Arial" w:cs="Arial"/>
          <w:b/>
          <w:bCs/>
        </w:rPr>
        <w:t>8</w:t>
      </w:r>
      <w:r w:rsidR="00A5315A" w:rsidRPr="00A10E12">
        <w:rPr>
          <w:rFonts w:ascii="Arial" w:hAnsi="Arial" w:cs="Arial"/>
          <w:b/>
          <w:bCs/>
        </w:rPr>
        <w:t>. SHARE CAPITAL AND RESERVES</w:t>
      </w:r>
    </w:p>
    <w:p w14:paraId="431B6BBD" w14:textId="77777777" w:rsidR="00E9009E" w:rsidRPr="00F56223" w:rsidRDefault="00E9009E" w:rsidP="00E9009E">
      <w:pPr>
        <w:pStyle w:val="BodyText"/>
        <w:ind w:left="800" w:right="777"/>
        <w:jc w:val="both"/>
        <w:rPr>
          <w:rFonts w:ascii="Arial" w:hAnsi="Arial" w:cs="Arial"/>
        </w:rPr>
      </w:pPr>
    </w:p>
    <w:p w14:paraId="6A829355" w14:textId="77777777" w:rsidR="00A5315A" w:rsidRPr="00F56223" w:rsidRDefault="00A5315A" w:rsidP="00E9009E">
      <w:pPr>
        <w:pStyle w:val="BodyText"/>
        <w:ind w:left="800" w:right="777"/>
        <w:jc w:val="both"/>
        <w:rPr>
          <w:rFonts w:ascii="Arial" w:hAnsi="Arial" w:cs="Arial"/>
        </w:rPr>
      </w:pPr>
      <w:proofErr w:type="spellStart"/>
      <w:r w:rsidRPr="00F56223">
        <w:rPr>
          <w:rFonts w:ascii="Arial" w:hAnsi="Arial" w:cs="Arial"/>
          <w:b/>
          <w:bCs/>
        </w:rPr>
        <w:t>i</w:t>
      </w:r>
      <w:proofErr w:type="spellEnd"/>
      <w:r w:rsidRPr="00F56223">
        <w:rPr>
          <w:rFonts w:ascii="Arial" w:hAnsi="Arial" w:cs="Arial"/>
          <w:b/>
          <w:bCs/>
        </w:rPr>
        <w:t>. Authorized</w:t>
      </w:r>
    </w:p>
    <w:p w14:paraId="287281DA" w14:textId="77777777" w:rsidR="00E9009E" w:rsidRPr="00F56223" w:rsidRDefault="00E9009E" w:rsidP="00E9009E">
      <w:pPr>
        <w:pStyle w:val="BodyText"/>
        <w:ind w:left="800" w:right="777"/>
        <w:jc w:val="both"/>
        <w:rPr>
          <w:rFonts w:ascii="Arial" w:hAnsi="Arial" w:cs="Arial"/>
        </w:rPr>
      </w:pPr>
    </w:p>
    <w:p w14:paraId="75007F49" w14:textId="77777777" w:rsidR="00A5315A" w:rsidRPr="00F56223" w:rsidRDefault="00A5315A" w:rsidP="00E9009E">
      <w:pPr>
        <w:pStyle w:val="BodyText"/>
        <w:ind w:left="800" w:right="777"/>
        <w:jc w:val="both"/>
        <w:rPr>
          <w:rFonts w:ascii="Arial" w:hAnsi="Arial" w:cs="Arial"/>
        </w:rPr>
      </w:pPr>
      <w:r w:rsidRPr="00F56223">
        <w:rPr>
          <w:rFonts w:ascii="Arial" w:hAnsi="Arial" w:cs="Arial"/>
        </w:rPr>
        <w:t>The Corporation is authorized to issue an unlimited number of common shares.</w:t>
      </w:r>
    </w:p>
    <w:p w14:paraId="4BEC4B8E" w14:textId="77777777" w:rsidR="00E9009E" w:rsidRPr="00F56223" w:rsidRDefault="00E9009E" w:rsidP="00E9009E">
      <w:pPr>
        <w:pStyle w:val="BodyText"/>
        <w:ind w:left="800" w:right="777"/>
        <w:jc w:val="both"/>
        <w:rPr>
          <w:rFonts w:ascii="Arial" w:hAnsi="Arial" w:cs="Arial"/>
        </w:rPr>
      </w:pPr>
    </w:p>
    <w:p w14:paraId="40D1E461" w14:textId="0493A25E" w:rsidR="00A5315A" w:rsidRDefault="00A5315A" w:rsidP="00E9009E">
      <w:pPr>
        <w:pStyle w:val="BodyText"/>
        <w:ind w:left="800" w:right="777"/>
        <w:jc w:val="both"/>
        <w:rPr>
          <w:rFonts w:ascii="Arial" w:hAnsi="Arial" w:cs="Arial"/>
          <w:b/>
          <w:bCs/>
        </w:rPr>
      </w:pPr>
      <w:r w:rsidRPr="00F56223">
        <w:rPr>
          <w:rFonts w:ascii="Arial" w:hAnsi="Arial" w:cs="Arial"/>
          <w:b/>
          <w:bCs/>
        </w:rPr>
        <w:t>ii. Details of share issuances</w:t>
      </w:r>
    </w:p>
    <w:p w14:paraId="6457BEE7" w14:textId="77777777" w:rsidR="00123610" w:rsidRDefault="00123610" w:rsidP="00A5315A">
      <w:pPr>
        <w:pStyle w:val="BodyText"/>
        <w:ind w:left="800" w:right="777"/>
        <w:jc w:val="both"/>
        <w:rPr>
          <w:rFonts w:ascii="Arial" w:hAnsi="Arial" w:cs="Arial"/>
          <w:b/>
          <w:bCs/>
        </w:rPr>
      </w:pPr>
    </w:p>
    <w:p w14:paraId="784E1FA3" w14:textId="4F07410F" w:rsidR="00C4232A" w:rsidRDefault="00C4232A" w:rsidP="00A5315A">
      <w:pPr>
        <w:pStyle w:val="BodyText"/>
        <w:ind w:left="800" w:right="777"/>
        <w:jc w:val="both"/>
        <w:rPr>
          <w:rFonts w:ascii="Arial" w:hAnsi="Arial" w:cs="Arial"/>
          <w:b/>
          <w:bCs/>
        </w:rPr>
      </w:pPr>
      <w:r>
        <w:rPr>
          <w:rFonts w:ascii="Arial" w:hAnsi="Arial" w:cs="Arial"/>
          <w:b/>
          <w:bCs/>
        </w:rPr>
        <w:t>2022</w:t>
      </w:r>
    </w:p>
    <w:p w14:paraId="7DEC3BC8" w14:textId="6ABE5D5E" w:rsidR="00C4232A" w:rsidRDefault="00C4232A" w:rsidP="00A5315A">
      <w:pPr>
        <w:pStyle w:val="BodyText"/>
        <w:ind w:left="800" w:right="777"/>
        <w:jc w:val="both"/>
        <w:rPr>
          <w:rFonts w:ascii="Arial" w:hAnsi="Arial" w:cs="Arial"/>
          <w:b/>
          <w:bCs/>
        </w:rPr>
      </w:pPr>
    </w:p>
    <w:p w14:paraId="32A67BCA" w14:textId="761DC55F" w:rsidR="00C4232A" w:rsidRPr="00474685" w:rsidRDefault="00C4232A" w:rsidP="00C4232A">
      <w:pPr>
        <w:pStyle w:val="BodyText"/>
        <w:ind w:left="800" w:right="777"/>
        <w:jc w:val="both"/>
        <w:rPr>
          <w:rFonts w:ascii="Arial" w:hAnsi="Arial" w:cs="Arial"/>
          <w:b/>
          <w:bCs/>
        </w:rPr>
      </w:pPr>
      <w:r w:rsidRPr="00474685">
        <w:rPr>
          <w:rFonts w:ascii="Arial" w:hAnsi="Arial" w:cs="Arial"/>
          <w:b/>
          <w:bCs/>
        </w:rPr>
        <w:t xml:space="preserve">Private Placement </w:t>
      </w:r>
    </w:p>
    <w:p w14:paraId="37E7B067" w14:textId="77777777" w:rsidR="00C4232A" w:rsidRPr="00366298" w:rsidRDefault="00C4232A" w:rsidP="00C4232A">
      <w:pPr>
        <w:pStyle w:val="BodyText"/>
        <w:ind w:left="800" w:right="777"/>
        <w:jc w:val="both"/>
        <w:rPr>
          <w:rFonts w:ascii="Arial" w:hAnsi="Arial" w:cs="Arial"/>
          <w:b/>
          <w:bCs/>
          <w:highlight w:val="yellow"/>
        </w:rPr>
      </w:pPr>
    </w:p>
    <w:p w14:paraId="4E6725DA" w14:textId="4A4B9146" w:rsidR="00C4232A" w:rsidRDefault="00C4232A" w:rsidP="00C4232A">
      <w:pPr>
        <w:pStyle w:val="BodyText"/>
        <w:ind w:left="800" w:right="777"/>
        <w:jc w:val="both"/>
        <w:rPr>
          <w:rFonts w:ascii="Arial" w:hAnsi="Arial" w:cs="Arial"/>
        </w:rPr>
      </w:pPr>
      <w:r w:rsidRPr="000F1436">
        <w:rPr>
          <w:rFonts w:ascii="Arial" w:hAnsi="Arial" w:cs="Arial"/>
        </w:rPr>
        <w:t>On December 1</w:t>
      </w:r>
      <w:r w:rsidR="00A12B28">
        <w:rPr>
          <w:rFonts w:ascii="Arial" w:hAnsi="Arial" w:cs="Arial"/>
        </w:rPr>
        <w:t>6</w:t>
      </w:r>
      <w:r w:rsidRPr="000F1436">
        <w:rPr>
          <w:rFonts w:ascii="Arial" w:hAnsi="Arial" w:cs="Arial"/>
        </w:rPr>
        <w:t xml:space="preserve">, 2022, the Corporation </w:t>
      </w:r>
      <w:r w:rsidR="00A12B28">
        <w:rPr>
          <w:rFonts w:ascii="Arial" w:hAnsi="Arial" w:cs="Arial"/>
        </w:rPr>
        <w:t>completed</w:t>
      </w:r>
      <w:r w:rsidR="00A12B28" w:rsidRPr="000F1436">
        <w:rPr>
          <w:rFonts w:ascii="Arial" w:hAnsi="Arial" w:cs="Arial"/>
        </w:rPr>
        <w:t xml:space="preserve"> </w:t>
      </w:r>
      <w:r w:rsidRPr="000F1436">
        <w:rPr>
          <w:rFonts w:ascii="Arial" w:hAnsi="Arial" w:cs="Arial"/>
        </w:rPr>
        <w:t xml:space="preserve">a non-brokered (no agent) private placement of </w:t>
      </w:r>
      <w:proofErr w:type="gramStart"/>
      <w:r w:rsidR="00A12B28">
        <w:rPr>
          <w:rFonts w:ascii="Arial" w:hAnsi="Arial" w:cs="Arial"/>
        </w:rPr>
        <w:t>10,952</w:t>
      </w:r>
      <w:r w:rsidR="001B0EEC">
        <w:rPr>
          <w:rFonts w:ascii="Arial" w:hAnsi="Arial" w:cs="Arial"/>
        </w:rPr>
        <w:t>,</w:t>
      </w:r>
      <w:r w:rsidR="00A12B28">
        <w:rPr>
          <w:rFonts w:ascii="Arial" w:hAnsi="Arial" w:cs="Arial"/>
        </w:rPr>
        <w:t>310</w:t>
      </w:r>
      <w:r w:rsidRPr="000F1436">
        <w:rPr>
          <w:rFonts w:ascii="Arial" w:hAnsi="Arial" w:cs="Arial"/>
        </w:rPr>
        <w:t xml:space="preserve">  </w:t>
      </w:r>
      <w:r w:rsidR="00F27CC6" w:rsidRPr="000F1436">
        <w:rPr>
          <w:rFonts w:ascii="Arial" w:hAnsi="Arial" w:cs="Arial"/>
        </w:rPr>
        <w:t>C</w:t>
      </w:r>
      <w:r w:rsidRPr="000F1436">
        <w:rPr>
          <w:rFonts w:ascii="Arial" w:hAnsi="Arial" w:cs="Arial"/>
        </w:rPr>
        <w:t>ommon</w:t>
      </w:r>
      <w:proofErr w:type="gramEnd"/>
      <w:r w:rsidRPr="000F1436">
        <w:rPr>
          <w:rFonts w:ascii="Arial" w:hAnsi="Arial" w:cs="Arial"/>
        </w:rPr>
        <w:t xml:space="preserve"> shares of the Corporation at a price of $0.21 per Common Share</w:t>
      </w:r>
      <w:r w:rsidR="00567B64">
        <w:rPr>
          <w:rFonts w:ascii="Arial" w:hAnsi="Arial" w:cs="Arial"/>
        </w:rPr>
        <w:t xml:space="preserve"> for gross proceeds of </w:t>
      </w:r>
      <w:r w:rsidRPr="000F1436">
        <w:rPr>
          <w:rFonts w:ascii="Arial" w:hAnsi="Arial" w:cs="Arial"/>
        </w:rPr>
        <w:t>$2,299,985.</w:t>
      </w:r>
      <w:r w:rsidRPr="00F90915">
        <w:rPr>
          <w:rFonts w:ascii="Arial" w:hAnsi="Arial" w:cs="Arial"/>
        </w:rPr>
        <w:t xml:space="preserve"> </w:t>
      </w:r>
    </w:p>
    <w:p w14:paraId="7232DFAA" w14:textId="7B235208" w:rsidR="00DF5145" w:rsidRDefault="00DF5145">
      <w:pPr>
        <w:widowControl w:val="0"/>
        <w:autoSpaceDE w:val="0"/>
        <w:autoSpaceDN w:val="0"/>
        <w:rPr>
          <w:rFonts w:ascii="Arial" w:hAnsi="Arial" w:cs="Arial"/>
          <w:sz w:val="16"/>
          <w:szCs w:val="16"/>
        </w:rPr>
      </w:pPr>
      <w:r>
        <w:rPr>
          <w:rFonts w:ascii="Arial" w:hAnsi="Arial" w:cs="Arial"/>
        </w:rPr>
        <w:br w:type="page"/>
      </w:r>
    </w:p>
    <w:p w14:paraId="150EF758" w14:textId="77777777" w:rsidR="000F1436" w:rsidRDefault="000F1436" w:rsidP="00C4232A">
      <w:pPr>
        <w:pStyle w:val="BodyText"/>
        <w:ind w:left="800" w:right="777"/>
        <w:jc w:val="both"/>
        <w:rPr>
          <w:rFonts w:ascii="Arial" w:hAnsi="Arial" w:cs="Arial"/>
        </w:rPr>
      </w:pPr>
    </w:p>
    <w:p w14:paraId="282D1A47" w14:textId="77777777" w:rsidR="00DF5145" w:rsidRDefault="00DF5145" w:rsidP="00C4232A">
      <w:pPr>
        <w:pStyle w:val="BodyText"/>
        <w:ind w:left="800" w:right="777"/>
        <w:jc w:val="both"/>
        <w:rPr>
          <w:rFonts w:ascii="Arial" w:hAnsi="Arial" w:cs="Arial"/>
        </w:rPr>
      </w:pPr>
    </w:p>
    <w:p w14:paraId="5DD59313" w14:textId="02FD22AE" w:rsidR="00E33291" w:rsidRPr="000E620F" w:rsidRDefault="00E33291" w:rsidP="00E33291">
      <w:pPr>
        <w:pStyle w:val="BodyText"/>
        <w:ind w:left="800" w:right="777"/>
        <w:jc w:val="both"/>
        <w:rPr>
          <w:rFonts w:ascii="Arial" w:hAnsi="Arial" w:cs="Arial"/>
        </w:rPr>
      </w:pPr>
      <w:r w:rsidRPr="000E620F">
        <w:rPr>
          <w:rFonts w:ascii="Arial" w:hAnsi="Arial" w:cs="Arial"/>
          <w:b/>
          <w:bCs/>
        </w:rPr>
        <w:t>iii. Warrants</w:t>
      </w:r>
    </w:p>
    <w:p w14:paraId="434549DF" w14:textId="77777777" w:rsidR="007D08C4" w:rsidRPr="000E620F" w:rsidRDefault="007D08C4" w:rsidP="00E33291">
      <w:pPr>
        <w:pStyle w:val="BodyText"/>
        <w:ind w:left="800" w:right="777"/>
        <w:jc w:val="both"/>
        <w:rPr>
          <w:rFonts w:ascii="Arial" w:hAnsi="Arial" w:cs="Arial"/>
          <w:b/>
          <w:bCs/>
        </w:rPr>
      </w:pPr>
    </w:p>
    <w:p w14:paraId="4F885144" w14:textId="1D0FAE2B" w:rsidR="00E33291" w:rsidRPr="000E620F" w:rsidRDefault="00E33291" w:rsidP="00E33291">
      <w:pPr>
        <w:pStyle w:val="BodyText"/>
        <w:ind w:left="800" w:right="777"/>
        <w:jc w:val="both"/>
        <w:rPr>
          <w:rFonts w:ascii="Arial" w:hAnsi="Arial" w:cs="Arial"/>
          <w:b/>
          <w:bCs/>
        </w:rPr>
      </w:pPr>
      <w:r w:rsidRPr="000E620F">
        <w:rPr>
          <w:rFonts w:ascii="Arial" w:hAnsi="Arial" w:cs="Arial"/>
          <w:b/>
          <w:bCs/>
        </w:rPr>
        <w:t xml:space="preserve">The following table reflects the continuity of warrants as at </w:t>
      </w:r>
      <w:r w:rsidR="004A6D6D" w:rsidRPr="000E620F">
        <w:rPr>
          <w:rFonts w:ascii="Arial" w:hAnsi="Arial" w:cs="Arial"/>
          <w:b/>
          <w:bCs/>
        </w:rPr>
        <w:t>Dec</w:t>
      </w:r>
      <w:r w:rsidR="008E6424" w:rsidRPr="000E620F">
        <w:rPr>
          <w:rFonts w:ascii="Arial" w:hAnsi="Arial" w:cs="Arial"/>
          <w:b/>
          <w:bCs/>
        </w:rPr>
        <w:t>ember</w:t>
      </w:r>
      <w:r w:rsidRPr="000E620F">
        <w:rPr>
          <w:rFonts w:ascii="Arial" w:hAnsi="Arial" w:cs="Arial"/>
          <w:b/>
          <w:bCs/>
        </w:rPr>
        <w:t xml:space="preserve"> 3</w:t>
      </w:r>
      <w:r w:rsidR="004A6D6D" w:rsidRPr="000E620F">
        <w:rPr>
          <w:rFonts w:ascii="Arial" w:hAnsi="Arial" w:cs="Arial"/>
          <w:b/>
          <w:bCs/>
        </w:rPr>
        <w:t>1</w:t>
      </w:r>
      <w:r w:rsidRPr="000E620F">
        <w:rPr>
          <w:rFonts w:ascii="Arial" w:hAnsi="Arial" w:cs="Arial"/>
          <w:b/>
          <w:bCs/>
        </w:rPr>
        <w:t>, 202</w:t>
      </w:r>
      <w:r w:rsidR="00123610">
        <w:rPr>
          <w:rFonts w:ascii="Arial" w:hAnsi="Arial" w:cs="Arial"/>
          <w:b/>
          <w:bCs/>
        </w:rPr>
        <w:t>3</w:t>
      </w:r>
      <w:r w:rsidRPr="000E620F">
        <w:rPr>
          <w:rFonts w:ascii="Arial" w:hAnsi="Arial" w:cs="Arial"/>
          <w:b/>
          <w:bCs/>
        </w:rPr>
        <w:t>:</w:t>
      </w:r>
    </w:p>
    <w:p w14:paraId="79C32D05" w14:textId="77777777" w:rsidR="001B14C4" w:rsidRPr="000E620F" w:rsidRDefault="001B14C4" w:rsidP="00E33291">
      <w:pPr>
        <w:pStyle w:val="BodyText"/>
        <w:ind w:left="800" w:right="777"/>
        <w:jc w:val="both"/>
        <w:rPr>
          <w:rFonts w:ascii="Arial" w:hAnsi="Arial" w:cs="Arial"/>
        </w:rPr>
      </w:pPr>
    </w:p>
    <w:tbl>
      <w:tblPr>
        <w:tblW w:w="0" w:type="auto"/>
        <w:tblInd w:w="851" w:type="dxa"/>
        <w:tblLayout w:type="fixed"/>
        <w:tblCellMar>
          <w:left w:w="0" w:type="dxa"/>
          <w:right w:w="0" w:type="dxa"/>
        </w:tblCellMar>
        <w:tblLook w:val="01E0" w:firstRow="1" w:lastRow="1" w:firstColumn="1" w:lastColumn="1" w:noHBand="0" w:noVBand="0"/>
      </w:tblPr>
      <w:tblGrid>
        <w:gridCol w:w="1618"/>
        <w:gridCol w:w="792"/>
        <w:gridCol w:w="1559"/>
        <w:gridCol w:w="850"/>
        <w:gridCol w:w="993"/>
        <w:gridCol w:w="1134"/>
        <w:gridCol w:w="1275"/>
      </w:tblGrid>
      <w:tr w:rsidR="00396B63" w:rsidRPr="000E620F" w14:paraId="30F05132" w14:textId="77777777" w:rsidTr="005C0E14">
        <w:trPr>
          <w:trHeight w:val="551"/>
        </w:trPr>
        <w:tc>
          <w:tcPr>
            <w:tcW w:w="1618" w:type="dxa"/>
          </w:tcPr>
          <w:p w14:paraId="14280915" w14:textId="44CB6530" w:rsidR="00396B63" w:rsidRPr="000E620F" w:rsidRDefault="00396B63" w:rsidP="00396B63">
            <w:pPr>
              <w:pStyle w:val="TableParagraph"/>
              <w:spacing w:before="158" w:line="167" w:lineRule="exact"/>
              <w:ind w:left="50"/>
              <w:jc w:val="left"/>
              <w:rPr>
                <w:rFonts w:ascii="Arial" w:hAnsi="Arial" w:cs="Arial"/>
                <w:b/>
                <w:sz w:val="16"/>
              </w:rPr>
            </w:pPr>
            <w:r w:rsidRPr="000E620F">
              <w:rPr>
                <w:rFonts w:ascii="Arial" w:hAnsi="Arial" w:cs="Arial"/>
                <w:b/>
                <w:sz w:val="16"/>
              </w:rPr>
              <w:t>Expiry Date</w:t>
            </w:r>
          </w:p>
        </w:tc>
        <w:tc>
          <w:tcPr>
            <w:tcW w:w="792" w:type="dxa"/>
            <w:vAlign w:val="center"/>
          </w:tcPr>
          <w:p w14:paraId="647B73B3" w14:textId="73F139B4" w:rsidR="00396B63" w:rsidRPr="000E620F" w:rsidRDefault="00396B63" w:rsidP="007E6E1E">
            <w:pPr>
              <w:pStyle w:val="TableParagraph"/>
              <w:spacing w:line="180" w:lineRule="exact"/>
              <w:jc w:val="center"/>
              <w:rPr>
                <w:rFonts w:ascii="Arial" w:hAnsi="Arial" w:cs="Arial"/>
                <w:b/>
                <w:sz w:val="16"/>
              </w:rPr>
            </w:pPr>
            <w:r w:rsidRPr="000E620F">
              <w:rPr>
                <w:rFonts w:ascii="Arial" w:hAnsi="Arial" w:cs="Arial"/>
                <w:b/>
                <w:sz w:val="16"/>
              </w:rPr>
              <w:t>Exercise Price</w:t>
            </w:r>
          </w:p>
        </w:tc>
        <w:tc>
          <w:tcPr>
            <w:tcW w:w="1559" w:type="dxa"/>
            <w:vAlign w:val="center"/>
            <w:hideMark/>
          </w:tcPr>
          <w:p w14:paraId="370722DE" w14:textId="0D978AB7" w:rsidR="00396B63" w:rsidRPr="000E620F" w:rsidRDefault="00396B63" w:rsidP="007E6E1E">
            <w:pPr>
              <w:pStyle w:val="TableParagraph"/>
              <w:spacing w:line="180" w:lineRule="exact"/>
              <w:jc w:val="center"/>
              <w:rPr>
                <w:rFonts w:ascii="Arial" w:hAnsi="Arial" w:cs="Arial"/>
                <w:b/>
                <w:sz w:val="16"/>
              </w:rPr>
            </w:pPr>
            <w:r w:rsidRPr="000E620F">
              <w:rPr>
                <w:rFonts w:ascii="Arial" w:hAnsi="Arial" w:cs="Arial"/>
                <w:b/>
                <w:sz w:val="16"/>
              </w:rPr>
              <w:t>20</w:t>
            </w:r>
            <w:r w:rsidR="006C4AA3" w:rsidRPr="000E620F">
              <w:rPr>
                <w:rFonts w:ascii="Arial" w:hAnsi="Arial" w:cs="Arial"/>
                <w:b/>
                <w:sz w:val="16"/>
              </w:rPr>
              <w:t>2</w:t>
            </w:r>
            <w:r w:rsidR="00123610">
              <w:rPr>
                <w:rFonts w:ascii="Arial" w:hAnsi="Arial" w:cs="Arial"/>
                <w:b/>
                <w:sz w:val="16"/>
              </w:rPr>
              <w:t>3</w:t>
            </w:r>
            <w:r w:rsidRPr="000E620F">
              <w:rPr>
                <w:rFonts w:ascii="Arial" w:hAnsi="Arial" w:cs="Arial"/>
                <w:b/>
                <w:sz w:val="16"/>
              </w:rPr>
              <w:t xml:space="preserve"> Opening Balance</w:t>
            </w:r>
          </w:p>
        </w:tc>
        <w:tc>
          <w:tcPr>
            <w:tcW w:w="850" w:type="dxa"/>
            <w:vAlign w:val="center"/>
          </w:tcPr>
          <w:p w14:paraId="26CC4A54" w14:textId="319F7F03" w:rsidR="00396B63" w:rsidRPr="00A10E12" w:rsidRDefault="00396B63" w:rsidP="007E6E1E">
            <w:pPr>
              <w:pStyle w:val="TableParagraph"/>
              <w:spacing w:line="180" w:lineRule="exact"/>
              <w:jc w:val="center"/>
              <w:rPr>
                <w:rFonts w:ascii="Arial" w:hAnsi="Arial" w:cs="Arial"/>
                <w:b/>
                <w:sz w:val="16"/>
                <w:szCs w:val="16"/>
              </w:rPr>
            </w:pPr>
            <w:r w:rsidRPr="00A10E12">
              <w:rPr>
                <w:rFonts w:ascii="Arial" w:hAnsi="Arial" w:cs="Arial"/>
                <w:b/>
                <w:sz w:val="16"/>
                <w:szCs w:val="16"/>
              </w:rPr>
              <w:t>Warrants Issued</w:t>
            </w:r>
          </w:p>
        </w:tc>
        <w:tc>
          <w:tcPr>
            <w:tcW w:w="993" w:type="dxa"/>
            <w:vAlign w:val="center"/>
          </w:tcPr>
          <w:p w14:paraId="389303A5" w14:textId="7BD7136E" w:rsidR="00396B63" w:rsidRPr="000E620F" w:rsidRDefault="00396B63" w:rsidP="007E6E1E">
            <w:pPr>
              <w:pStyle w:val="TableParagraph"/>
              <w:spacing w:line="180" w:lineRule="exact"/>
              <w:jc w:val="center"/>
              <w:rPr>
                <w:rFonts w:ascii="Arial" w:hAnsi="Arial" w:cs="Arial"/>
                <w:b/>
                <w:sz w:val="16"/>
              </w:rPr>
            </w:pPr>
            <w:r w:rsidRPr="000E620F">
              <w:rPr>
                <w:rFonts w:ascii="Arial" w:hAnsi="Arial" w:cs="Arial"/>
                <w:b/>
                <w:sz w:val="16"/>
              </w:rPr>
              <w:t>Warrants Exercised</w:t>
            </w:r>
          </w:p>
        </w:tc>
        <w:tc>
          <w:tcPr>
            <w:tcW w:w="1134" w:type="dxa"/>
            <w:vAlign w:val="center"/>
          </w:tcPr>
          <w:p w14:paraId="3DAF07AC" w14:textId="30CB1806" w:rsidR="00396B63" w:rsidRPr="00A10E12" w:rsidRDefault="00396B63" w:rsidP="007E6E1E">
            <w:pPr>
              <w:pStyle w:val="TableParagraph"/>
              <w:spacing w:line="180" w:lineRule="exact"/>
              <w:jc w:val="center"/>
              <w:rPr>
                <w:rFonts w:ascii="Arial" w:hAnsi="Arial" w:cs="Arial"/>
                <w:b/>
                <w:sz w:val="16"/>
                <w:szCs w:val="16"/>
              </w:rPr>
            </w:pPr>
            <w:r w:rsidRPr="00A10E12">
              <w:rPr>
                <w:rFonts w:ascii="Arial" w:hAnsi="Arial" w:cs="Arial"/>
                <w:b/>
                <w:sz w:val="16"/>
                <w:szCs w:val="16"/>
              </w:rPr>
              <w:t>Warrants Expired</w:t>
            </w:r>
          </w:p>
        </w:tc>
        <w:tc>
          <w:tcPr>
            <w:tcW w:w="1275" w:type="dxa"/>
            <w:vAlign w:val="center"/>
            <w:hideMark/>
          </w:tcPr>
          <w:p w14:paraId="1430D88D" w14:textId="70D47ED2" w:rsidR="00396B63" w:rsidRPr="000E620F" w:rsidRDefault="00396B63" w:rsidP="007E6E1E">
            <w:pPr>
              <w:pStyle w:val="TableParagraph"/>
              <w:spacing w:line="180" w:lineRule="exact"/>
              <w:jc w:val="center"/>
              <w:rPr>
                <w:rFonts w:ascii="Arial" w:hAnsi="Arial" w:cs="Arial"/>
                <w:b/>
                <w:sz w:val="16"/>
              </w:rPr>
            </w:pPr>
            <w:r w:rsidRPr="000E620F">
              <w:rPr>
                <w:rFonts w:ascii="Arial" w:hAnsi="Arial" w:cs="Arial"/>
                <w:b/>
                <w:sz w:val="16"/>
              </w:rPr>
              <w:t>20</w:t>
            </w:r>
            <w:r w:rsidR="006C4AA3" w:rsidRPr="000E620F">
              <w:rPr>
                <w:rFonts w:ascii="Arial" w:hAnsi="Arial" w:cs="Arial"/>
                <w:b/>
                <w:sz w:val="16"/>
              </w:rPr>
              <w:t>2</w:t>
            </w:r>
            <w:r w:rsidR="00123610">
              <w:rPr>
                <w:rFonts w:ascii="Arial" w:hAnsi="Arial" w:cs="Arial"/>
                <w:b/>
                <w:sz w:val="16"/>
              </w:rPr>
              <w:t>3</w:t>
            </w:r>
            <w:r w:rsidRPr="000E620F">
              <w:rPr>
                <w:rFonts w:ascii="Arial" w:hAnsi="Arial" w:cs="Arial"/>
                <w:b/>
                <w:sz w:val="16"/>
              </w:rPr>
              <w:t xml:space="preserve"> Closing</w:t>
            </w:r>
            <w:r w:rsidR="007E6E1E" w:rsidRPr="000E620F">
              <w:rPr>
                <w:rFonts w:ascii="Arial" w:hAnsi="Arial" w:cs="Arial"/>
                <w:b/>
                <w:sz w:val="16"/>
              </w:rPr>
              <w:t xml:space="preserve"> </w:t>
            </w:r>
            <w:r w:rsidRPr="000E620F">
              <w:rPr>
                <w:rFonts w:ascii="Arial" w:hAnsi="Arial" w:cs="Arial"/>
                <w:b/>
                <w:sz w:val="16"/>
              </w:rPr>
              <w:t>Balance</w:t>
            </w:r>
          </w:p>
        </w:tc>
      </w:tr>
      <w:tr w:rsidR="00CF64C5" w:rsidRPr="000E620F" w14:paraId="02E2E4DF" w14:textId="77777777" w:rsidTr="005C0E14">
        <w:trPr>
          <w:trHeight w:val="199"/>
        </w:trPr>
        <w:tc>
          <w:tcPr>
            <w:tcW w:w="1618" w:type="dxa"/>
            <w:tcBorders>
              <w:top w:val="nil"/>
              <w:left w:val="nil"/>
              <w:bottom w:val="single" w:sz="4" w:space="0" w:color="000000"/>
              <w:right w:val="nil"/>
            </w:tcBorders>
          </w:tcPr>
          <w:p w14:paraId="0E67B8F1" w14:textId="77777777" w:rsidR="00CF64C5" w:rsidRPr="000E620F" w:rsidRDefault="00CF64C5" w:rsidP="009C3F54">
            <w:pPr>
              <w:pStyle w:val="TableParagraph"/>
              <w:spacing w:line="240" w:lineRule="auto"/>
              <w:jc w:val="left"/>
              <w:rPr>
                <w:rFonts w:ascii="Arial" w:hAnsi="Arial" w:cs="Arial"/>
                <w:sz w:val="12"/>
              </w:rPr>
            </w:pPr>
          </w:p>
        </w:tc>
        <w:tc>
          <w:tcPr>
            <w:tcW w:w="792" w:type="dxa"/>
            <w:tcBorders>
              <w:top w:val="nil"/>
              <w:left w:val="nil"/>
              <w:bottom w:val="single" w:sz="4" w:space="0" w:color="000000"/>
              <w:right w:val="nil"/>
            </w:tcBorders>
            <w:hideMark/>
          </w:tcPr>
          <w:p w14:paraId="3C2EBDDB" w14:textId="77777777" w:rsidR="00CF64C5" w:rsidRPr="000E620F" w:rsidRDefault="00CF64C5" w:rsidP="009C3F54">
            <w:pPr>
              <w:pStyle w:val="TableParagraph"/>
              <w:spacing w:line="180" w:lineRule="exact"/>
              <w:ind w:left="496"/>
              <w:jc w:val="left"/>
              <w:rPr>
                <w:rFonts w:ascii="Arial" w:hAnsi="Arial" w:cs="Arial"/>
                <w:b/>
                <w:sz w:val="16"/>
              </w:rPr>
            </w:pPr>
            <w:r w:rsidRPr="000E620F">
              <w:rPr>
                <w:rFonts w:ascii="Arial" w:hAnsi="Arial" w:cs="Arial"/>
                <w:b/>
                <w:sz w:val="16"/>
              </w:rPr>
              <w:t>$</w:t>
            </w:r>
          </w:p>
        </w:tc>
        <w:tc>
          <w:tcPr>
            <w:tcW w:w="1559" w:type="dxa"/>
            <w:tcBorders>
              <w:top w:val="nil"/>
              <w:left w:val="nil"/>
              <w:bottom w:val="single" w:sz="4" w:space="0" w:color="000000"/>
              <w:right w:val="nil"/>
            </w:tcBorders>
            <w:hideMark/>
          </w:tcPr>
          <w:p w14:paraId="68365F43" w14:textId="77777777" w:rsidR="00CF64C5" w:rsidRPr="000E620F" w:rsidRDefault="00CF64C5" w:rsidP="009C3F54">
            <w:pPr>
              <w:pStyle w:val="TableParagraph"/>
              <w:spacing w:line="180" w:lineRule="exact"/>
              <w:ind w:right="37"/>
              <w:jc w:val="center"/>
              <w:rPr>
                <w:rFonts w:ascii="Arial" w:hAnsi="Arial" w:cs="Arial"/>
                <w:b/>
                <w:sz w:val="16"/>
              </w:rPr>
            </w:pPr>
            <w:r w:rsidRPr="000E620F">
              <w:rPr>
                <w:rFonts w:ascii="Arial" w:hAnsi="Arial" w:cs="Arial"/>
                <w:b/>
                <w:sz w:val="16"/>
              </w:rPr>
              <w:t>#</w:t>
            </w:r>
          </w:p>
        </w:tc>
        <w:tc>
          <w:tcPr>
            <w:tcW w:w="850" w:type="dxa"/>
            <w:tcBorders>
              <w:top w:val="nil"/>
              <w:left w:val="nil"/>
              <w:bottom w:val="single" w:sz="4" w:space="0" w:color="000000"/>
              <w:right w:val="nil"/>
            </w:tcBorders>
            <w:hideMark/>
          </w:tcPr>
          <w:p w14:paraId="08F16BFA" w14:textId="77777777" w:rsidR="00CF64C5" w:rsidRPr="00A10E12" w:rsidRDefault="00CF64C5" w:rsidP="009C3F54">
            <w:pPr>
              <w:pStyle w:val="TableParagraph"/>
              <w:spacing w:line="180" w:lineRule="exact"/>
              <w:ind w:left="116"/>
              <w:jc w:val="center"/>
              <w:rPr>
                <w:rFonts w:ascii="Arial" w:hAnsi="Arial" w:cs="Arial"/>
                <w:b/>
                <w:sz w:val="16"/>
                <w:szCs w:val="16"/>
              </w:rPr>
            </w:pPr>
            <w:r w:rsidRPr="00A10E12">
              <w:rPr>
                <w:rFonts w:ascii="Arial" w:hAnsi="Arial" w:cs="Arial"/>
                <w:b/>
                <w:sz w:val="16"/>
                <w:szCs w:val="16"/>
              </w:rPr>
              <w:t>#</w:t>
            </w:r>
          </w:p>
        </w:tc>
        <w:tc>
          <w:tcPr>
            <w:tcW w:w="993" w:type="dxa"/>
            <w:tcBorders>
              <w:top w:val="nil"/>
              <w:left w:val="nil"/>
              <w:bottom w:val="single" w:sz="4" w:space="0" w:color="000000"/>
              <w:right w:val="nil"/>
            </w:tcBorders>
            <w:hideMark/>
          </w:tcPr>
          <w:p w14:paraId="30C8191B" w14:textId="77777777" w:rsidR="00CF64C5" w:rsidRPr="000E620F" w:rsidRDefault="00CF64C5" w:rsidP="009C3F54">
            <w:pPr>
              <w:pStyle w:val="TableParagraph"/>
              <w:spacing w:line="180" w:lineRule="exact"/>
              <w:ind w:left="233"/>
              <w:jc w:val="center"/>
              <w:rPr>
                <w:rFonts w:ascii="Arial" w:hAnsi="Arial" w:cs="Arial"/>
                <w:b/>
                <w:sz w:val="16"/>
              </w:rPr>
            </w:pPr>
            <w:r w:rsidRPr="000E620F">
              <w:rPr>
                <w:rFonts w:ascii="Arial" w:hAnsi="Arial" w:cs="Arial"/>
                <w:b/>
                <w:sz w:val="16"/>
              </w:rPr>
              <w:t>#</w:t>
            </w:r>
          </w:p>
        </w:tc>
        <w:tc>
          <w:tcPr>
            <w:tcW w:w="1134" w:type="dxa"/>
            <w:tcBorders>
              <w:top w:val="nil"/>
              <w:left w:val="nil"/>
              <w:bottom w:val="single" w:sz="4" w:space="0" w:color="000000"/>
              <w:right w:val="nil"/>
            </w:tcBorders>
            <w:hideMark/>
          </w:tcPr>
          <w:p w14:paraId="0777FEFF" w14:textId="77777777" w:rsidR="00CF64C5" w:rsidRPr="00A10E12" w:rsidRDefault="00CF64C5" w:rsidP="009C3F54">
            <w:pPr>
              <w:pStyle w:val="TableParagraph"/>
              <w:spacing w:line="180" w:lineRule="exact"/>
              <w:ind w:left="52"/>
              <w:jc w:val="center"/>
              <w:rPr>
                <w:rFonts w:ascii="Arial" w:hAnsi="Arial" w:cs="Arial"/>
                <w:b/>
                <w:sz w:val="16"/>
                <w:szCs w:val="16"/>
              </w:rPr>
            </w:pPr>
            <w:r w:rsidRPr="00A10E12">
              <w:rPr>
                <w:rFonts w:ascii="Arial" w:hAnsi="Arial" w:cs="Arial"/>
                <w:b/>
                <w:sz w:val="16"/>
                <w:szCs w:val="16"/>
              </w:rPr>
              <w:t>#</w:t>
            </w:r>
          </w:p>
        </w:tc>
        <w:tc>
          <w:tcPr>
            <w:tcW w:w="1275" w:type="dxa"/>
            <w:tcBorders>
              <w:top w:val="nil"/>
              <w:left w:val="nil"/>
              <w:bottom w:val="single" w:sz="4" w:space="0" w:color="000000"/>
              <w:right w:val="nil"/>
            </w:tcBorders>
            <w:hideMark/>
          </w:tcPr>
          <w:p w14:paraId="217E3C7A" w14:textId="77777777" w:rsidR="00CF64C5" w:rsidRPr="000E620F" w:rsidRDefault="00CF64C5" w:rsidP="009C3F54">
            <w:pPr>
              <w:pStyle w:val="TableParagraph"/>
              <w:spacing w:line="180" w:lineRule="exact"/>
              <w:ind w:left="164"/>
              <w:jc w:val="center"/>
              <w:rPr>
                <w:rFonts w:ascii="Arial" w:hAnsi="Arial" w:cs="Arial"/>
                <w:b/>
                <w:sz w:val="16"/>
              </w:rPr>
            </w:pPr>
            <w:r w:rsidRPr="000E620F">
              <w:rPr>
                <w:rFonts w:ascii="Arial" w:hAnsi="Arial" w:cs="Arial"/>
                <w:b/>
                <w:sz w:val="16"/>
              </w:rPr>
              <w:t>#</w:t>
            </w:r>
          </w:p>
        </w:tc>
      </w:tr>
      <w:tr w:rsidR="002135D8" w:rsidRPr="000E620F" w14:paraId="357CB05C" w14:textId="77777777" w:rsidTr="005C0E14">
        <w:trPr>
          <w:trHeight w:val="213"/>
        </w:trPr>
        <w:tc>
          <w:tcPr>
            <w:tcW w:w="1618" w:type="dxa"/>
            <w:tcBorders>
              <w:top w:val="nil"/>
              <w:left w:val="nil"/>
              <w:right w:val="nil"/>
            </w:tcBorders>
            <w:vAlign w:val="center"/>
            <w:hideMark/>
          </w:tcPr>
          <w:p w14:paraId="3BC18022" w14:textId="77777777" w:rsidR="002135D8" w:rsidRPr="000E620F" w:rsidRDefault="002135D8" w:rsidP="00002686">
            <w:pPr>
              <w:pStyle w:val="TableParagraph"/>
              <w:spacing w:line="182" w:lineRule="exact"/>
              <w:ind w:left="51"/>
              <w:jc w:val="left"/>
              <w:rPr>
                <w:rFonts w:ascii="Arial" w:hAnsi="Arial" w:cs="Arial"/>
                <w:sz w:val="16"/>
              </w:rPr>
            </w:pPr>
            <w:r w:rsidRPr="000E620F">
              <w:rPr>
                <w:rFonts w:ascii="Arial" w:hAnsi="Arial" w:cs="Arial"/>
                <w:sz w:val="16"/>
              </w:rPr>
              <w:t>January 15, 2023</w:t>
            </w:r>
          </w:p>
        </w:tc>
        <w:tc>
          <w:tcPr>
            <w:tcW w:w="792" w:type="dxa"/>
            <w:tcBorders>
              <w:top w:val="nil"/>
              <w:left w:val="nil"/>
              <w:right w:val="nil"/>
            </w:tcBorders>
            <w:vAlign w:val="center"/>
            <w:hideMark/>
          </w:tcPr>
          <w:p w14:paraId="095D6B13" w14:textId="77777777" w:rsidR="002135D8" w:rsidRPr="000E620F" w:rsidRDefault="002135D8" w:rsidP="002135D8">
            <w:pPr>
              <w:pStyle w:val="TableParagraph"/>
              <w:spacing w:line="240" w:lineRule="auto"/>
              <w:ind w:right="113"/>
              <w:rPr>
                <w:rFonts w:ascii="Arial" w:hAnsi="Arial" w:cs="Arial"/>
                <w:sz w:val="16"/>
              </w:rPr>
            </w:pPr>
            <w:r w:rsidRPr="000E620F">
              <w:rPr>
                <w:rFonts w:ascii="Arial" w:hAnsi="Arial" w:cs="Arial"/>
                <w:sz w:val="16"/>
              </w:rPr>
              <w:t>0.61</w:t>
            </w:r>
          </w:p>
        </w:tc>
        <w:tc>
          <w:tcPr>
            <w:tcW w:w="1559" w:type="dxa"/>
            <w:tcBorders>
              <w:top w:val="nil"/>
              <w:left w:val="nil"/>
              <w:right w:val="nil"/>
            </w:tcBorders>
            <w:hideMark/>
          </w:tcPr>
          <w:p w14:paraId="5FE17FC2" w14:textId="77777777" w:rsidR="002135D8" w:rsidRPr="000E620F" w:rsidRDefault="002135D8" w:rsidP="002135D8">
            <w:pPr>
              <w:pStyle w:val="TableParagraph"/>
              <w:spacing w:line="240" w:lineRule="auto"/>
              <w:ind w:right="113"/>
              <w:rPr>
                <w:rFonts w:ascii="Arial" w:hAnsi="Arial" w:cs="Arial"/>
                <w:sz w:val="16"/>
              </w:rPr>
            </w:pPr>
            <w:r w:rsidRPr="000E620F">
              <w:rPr>
                <w:rFonts w:ascii="Arial" w:hAnsi="Arial" w:cs="Arial"/>
                <w:sz w:val="16"/>
              </w:rPr>
              <w:t>375,000</w:t>
            </w:r>
          </w:p>
        </w:tc>
        <w:tc>
          <w:tcPr>
            <w:tcW w:w="850" w:type="dxa"/>
            <w:tcBorders>
              <w:top w:val="nil"/>
              <w:left w:val="nil"/>
              <w:right w:val="nil"/>
            </w:tcBorders>
            <w:vAlign w:val="center"/>
          </w:tcPr>
          <w:p w14:paraId="68EF16BB" w14:textId="69F2FCA3" w:rsidR="002135D8" w:rsidRPr="00A10E12" w:rsidRDefault="00A048EC" w:rsidP="00F42BC5">
            <w:pPr>
              <w:pStyle w:val="TableParagraph"/>
              <w:spacing w:line="240" w:lineRule="auto"/>
              <w:ind w:right="113"/>
              <w:rPr>
                <w:rFonts w:ascii="Arial" w:hAnsi="Arial" w:cs="Arial"/>
                <w:sz w:val="16"/>
                <w:szCs w:val="16"/>
              </w:rPr>
            </w:pPr>
            <w:r w:rsidRPr="00A10E12">
              <w:rPr>
                <w:rFonts w:ascii="Arial" w:hAnsi="Arial" w:cs="Arial"/>
                <w:sz w:val="16"/>
                <w:szCs w:val="16"/>
              </w:rPr>
              <w:t>-</w:t>
            </w:r>
          </w:p>
        </w:tc>
        <w:tc>
          <w:tcPr>
            <w:tcW w:w="993" w:type="dxa"/>
            <w:tcBorders>
              <w:top w:val="nil"/>
              <w:left w:val="nil"/>
              <w:right w:val="nil"/>
            </w:tcBorders>
            <w:vAlign w:val="center"/>
            <w:hideMark/>
          </w:tcPr>
          <w:p w14:paraId="3747FB4C" w14:textId="75AEE0F7" w:rsidR="002135D8" w:rsidRPr="000E620F" w:rsidRDefault="00A048EC" w:rsidP="00F42BC5">
            <w:pPr>
              <w:pStyle w:val="TableParagraph"/>
              <w:tabs>
                <w:tab w:val="left" w:pos="1103"/>
              </w:tabs>
              <w:spacing w:line="240" w:lineRule="auto"/>
              <w:ind w:right="113"/>
              <w:rPr>
                <w:rFonts w:ascii="Arial" w:hAnsi="Arial" w:cs="Arial"/>
                <w:sz w:val="16"/>
              </w:rPr>
            </w:pPr>
            <w:r w:rsidRPr="000E620F">
              <w:rPr>
                <w:rFonts w:ascii="Arial" w:hAnsi="Arial" w:cs="Arial"/>
                <w:sz w:val="16"/>
              </w:rPr>
              <w:t>-</w:t>
            </w:r>
          </w:p>
        </w:tc>
        <w:tc>
          <w:tcPr>
            <w:tcW w:w="1134" w:type="dxa"/>
            <w:tcBorders>
              <w:top w:val="nil"/>
              <w:left w:val="nil"/>
              <w:right w:val="nil"/>
            </w:tcBorders>
            <w:vAlign w:val="center"/>
          </w:tcPr>
          <w:p w14:paraId="5F8053A5" w14:textId="479142C8" w:rsidR="002135D8" w:rsidRPr="00A10E12" w:rsidRDefault="00123610" w:rsidP="00F42BC5">
            <w:pPr>
              <w:pStyle w:val="TableParagraph"/>
              <w:spacing w:line="240" w:lineRule="auto"/>
              <w:ind w:right="113"/>
              <w:rPr>
                <w:rFonts w:ascii="Arial" w:hAnsi="Arial" w:cs="Arial"/>
                <w:sz w:val="16"/>
                <w:szCs w:val="16"/>
              </w:rPr>
            </w:pPr>
            <w:r w:rsidRPr="00A10E12">
              <w:rPr>
                <w:rFonts w:ascii="Arial" w:hAnsi="Arial" w:cs="Arial"/>
                <w:sz w:val="16"/>
                <w:szCs w:val="16"/>
              </w:rPr>
              <w:t>(375,000)</w:t>
            </w:r>
          </w:p>
        </w:tc>
        <w:tc>
          <w:tcPr>
            <w:tcW w:w="1275" w:type="dxa"/>
            <w:tcBorders>
              <w:top w:val="nil"/>
              <w:left w:val="nil"/>
              <w:right w:val="nil"/>
            </w:tcBorders>
            <w:vAlign w:val="center"/>
            <w:hideMark/>
          </w:tcPr>
          <w:p w14:paraId="5915D441" w14:textId="1F1F74A3" w:rsidR="002135D8" w:rsidRPr="000E620F" w:rsidRDefault="00123610" w:rsidP="002135D8">
            <w:pPr>
              <w:pStyle w:val="TableParagraph"/>
              <w:tabs>
                <w:tab w:val="left" w:pos="684"/>
              </w:tabs>
              <w:spacing w:line="240" w:lineRule="auto"/>
              <w:ind w:right="113"/>
              <w:rPr>
                <w:rFonts w:ascii="Arial" w:hAnsi="Arial" w:cs="Arial"/>
                <w:b/>
                <w:sz w:val="16"/>
              </w:rPr>
            </w:pPr>
            <w:r>
              <w:rPr>
                <w:rFonts w:ascii="Arial" w:hAnsi="Arial" w:cs="Arial"/>
                <w:b/>
                <w:sz w:val="16"/>
              </w:rPr>
              <w:t>-</w:t>
            </w:r>
          </w:p>
        </w:tc>
      </w:tr>
      <w:tr w:rsidR="00531454" w:rsidRPr="000E620F" w14:paraId="6DED2E19" w14:textId="77777777" w:rsidTr="005C0E14">
        <w:trPr>
          <w:trHeight w:val="213"/>
        </w:trPr>
        <w:tc>
          <w:tcPr>
            <w:tcW w:w="1618" w:type="dxa"/>
            <w:tcBorders>
              <w:left w:val="nil"/>
              <w:bottom w:val="single" w:sz="4" w:space="0" w:color="000000"/>
              <w:right w:val="nil"/>
            </w:tcBorders>
            <w:vAlign w:val="center"/>
          </w:tcPr>
          <w:p w14:paraId="368E89F4" w14:textId="0C130326" w:rsidR="00531454" w:rsidRPr="000E620F" w:rsidRDefault="00531454" w:rsidP="00002686">
            <w:pPr>
              <w:pStyle w:val="TableParagraph"/>
              <w:spacing w:line="182" w:lineRule="exact"/>
              <w:ind w:left="51"/>
              <w:jc w:val="left"/>
              <w:rPr>
                <w:rFonts w:ascii="Arial" w:hAnsi="Arial" w:cs="Arial"/>
                <w:sz w:val="16"/>
              </w:rPr>
            </w:pPr>
            <w:r w:rsidRPr="000E620F">
              <w:rPr>
                <w:rFonts w:ascii="Arial" w:hAnsi="Arial" w:cs="Arial"/>
                <w:sz w:val="16"/>
              </w:rPr>
              <w:t>March 30,2023</w:t>
            </w:r>
          </w:p>
        </w:tc>
        <w:tc>
          <w:tcPr>
            <w:tcW w:w="792" w:type="dxa"/>
            <w:tcBorders>
              <w:left w:val="nil"/>
              <w:bottom w:val="single" w:sz="4" w:space="0" w:color="000000"/>
              <w:right w:val="nil"/>
            </w:tcBorders>
            <w:vAlign w:val="center"/>
          </w:tcPr>
          <w:p w14:paraId="154F38A0" w14:textId="505CB600" w:rsidR="00531454" w:rsidRPr="000E620F" w:rsidRDefault="00531454" w:rsidP="002135D8">
            <w:pPr>
              <w:pStyle w:val="TableParagraph"/>
              <w:spacing w:line="240" w:lineRule="auto"/>
              <w:ind w:right="113"/>
              <w:rPr>
                <w:rFonts w:ascii="Arial" w:hAnsi="Arial" w:cs="Arial"/>
                <w:sz w:val="16"/>
              </w:rPr>
            </w:pPr>
            <w:r w:rsidRPr="000E620F">
              <w:rPr>
                <w:rFonts w:ascii="Arial" w:hAnsi="Arial" w:cs="Arial"/>
                <w:sz w:val="16"/>
              </w:rPr>
              <w:t>0.45</w:t>
            </w:r>
          </w:p>
        </w:tc>
        <w:tc>
          <w:tcPr>
            <w:tcW w:w="1559" w:type="dxa"/>
            <w:tcBorders>
              <w:left w:val="nil"/>
              <w:bottom w:val="single" w:sz="4" w:space="0" w:color="000000"/>
              <w:right w:val="nil"/>
            </w:tcBorders>
          </w:tcPr>
          <w:p w14:paraId="1B3C0395" w14:textId="31252ACC" w:rsidR="00531454" w:rsidRPr="000E620F" w:rsidRDefault="002325BB" w:rsidP="002135D8">
            <w:pPr>
              <w:pStyle w:val="TableParagraph"/>
              <w:spacing w:line="240" w:lineRule="auto"/>
              <w:ind w:right="113"/>
              <w:rPr>
                <w:rFonts w:ascii="Arial" w:hAnsi="Arial" w:cs="Arial"/>
                <w:sz w:val="16"/>
              </w:rPr>
            </w:pPr>
            <w:r w:rsidRPr="000E620F">
              <w:rPr>
                <w:rFonts w:ascii="Arial" w:hAnsi="Arial" w:cs="Arial"/>
                <w:sz w:val="16"/>
              </w:rPr>
              <w:t>6,362,500</w:t>
            </w:r>
          </w:p>
        </w:tc>
        <w:tc>
          <w:tcPr>
            <w:tcW w:w="850" w:type="dxa"/>
            <w:tcBorders>
              <w:left w:val="nil"/>
              <w:bottom w:val="single" w:sz="4" w:space="0" w:color="000000"/>
              <w:right w:val="nil"/>
            </w:tcBorders>
            <w:vAlign w:val="center"/>
          </w:tcPr>
          <w:p w14:paraId="68621A1B" w14:textId="01F98298" w:rsidR="00531454" w:rsidRPr="00A10E12" w:rsidRDefault="002325BB" w:rsidP="00F42BC5">
            <w:pPr>
              <w:pStyle w:val="TableParagraph"/>
              <w:spacing w:line="240" w:lineRule="auto"/>
              <w:ind w:right="113"/>
              <w:rPr>
                <w:rFonts w:ascii="Arial" w:hAnsi="Arial" w:cs="Arial"/>
                <w:sz w:val="16"/>
                <w:szCs w:val="16"/>
              </w:rPr>
            </w:pPr>
            <w:r w:rsidRPr="00A10E12">
              <w:rPr>
                <w:rFonts w:ascii="Arial" w:hAnsi="Arial" w:cs="Arial"/>
                <w:sz w:val="16"/>
                <w:szCs w:val="16"/>
              </w:rPr>
              <w:t>-</w:t>
            </w:r>
          </w:p>
        </w:tc>
        <w:tc>
          <w:tcPr>
            <w:tcW w:w="993" w:type="dxa"/>
            <w:tcBorders>
              <w:left w:val="nil"/>
              <w:bottom w:val="single" w:sz="4" w:space="0" w:color="000000"/>
              <w:right w:val="nil"/>
            </w:tcBorders>
            <w:vAlign w:val="center"/>
          </w:tcPr>
          <w:p w14:paraId="169079BE" w14:textId="2290F95B" w:rsidR="00531454" w:rsidRPr="000E620F" w:rsidRDefault="00BE252D" w:rsidP="00F42BC5">
            <w:pPr>
              <w:pStyle w:val="TableParagraph"/>
              <w:tabs>
                <w:tab w:val="left" w:pos="1103"/>
              </w:tabs>
              <w:spacing w:line="240" w:lineRule="auto"/>
              <w:ind w:right="113"/>
              <w:rPr>
                <w:rFonts w:ascii="Arial" w:hAnsi="Arial" w:cs="Arial"/>
                <w:sz w:val="16"/>
              </w:rPr>
            </w:pPr>
            <w:r w:rsidRPr="000E620F">
              <w:rPr>
                <w:rFonts w:ascii="Arial" w:hAnsi="Arial" w:cs="Arial"/>
                <w:sz w:val="16"/>
              </w:rPr>
              <w:t>-</w:t>
            </w:r>
          </w:p>
        </w:tc>
        <w:tc>
          <w:tcPr>
            <w:tcW w:w="1134" w:type="dxa"/>
            <w:tcBorders>
              <w:left w:val="nil"/>
              <w:bottom w:val="single" w:sz="4" w:space="0" w:color="000000"/>
              <w:right w:val="nil"/>
            </w:tcBorders>
            <w:vAlign w:val="center"/>
          </w:tcPr>
          <w:p w14:paraId="3F9B3222" w14:textId="5D42BD90" w:rsidR="00531454" w:rsidRPr="00A10E12" w:rsidRDefault="00123610" w:rsidP="00F42BC5">
            <w:pPr>
              <w:pStyle w:val="TableParagraph"/>
              <w:spacing w:line="240" w:lineRule="auto"/>
              <w:ind w:right="113"/>
              <w:rPr>
                <w:rFonts w:ascii="Arial" w:hAnsi="Arial" w:cs="Arial"/>
                <w:sz w:val="16"/>
                <w:szCs w:val="16"/>
              </w:rPr>
            </w:pPr>
            <w:r w:rsidRPr="00A10E12">
              <w:rPr>
                <w:rFonts w:ascii="Arial" w:hAnsi="Arial" w:cs="Arial"/>
                <w:sz w:val="16"/>
                <w:szCs w:val="16"/>
              </w:rPr>
              <w:t>(6,362,500)</w:t>
            </w:r>
          </w:p>
        </w:tc>
        <w:tc>
          <w:tcPr>
            <w:tcW w:w="1275" w:type="dxa"/>
            <w:tcBorders>
              <w:left w:val="nil"/>
              <w:bottom w:val="single" w:sz="4" w:space="0" w:color="000000"/>
              <w:right w:val="nil"/>
            </w:tcBorders>
            <w:vAlign w:val="center"/>
          </w:tcPr>
          <w:p w14:paraId="3FDF2076" w14:textId="1DB61655" w:rsidR="00531454" w:rsidRPr="000E620F" w:rsidRDefault="00123610" w:rsidP="002135D8">
            <w:pPr>
              <w:pStyle w:val="TableParagraph"/>
              <w:tabs>
                <w:tab w:val="left" w:pos="684"/>
              </w:tabs>
              <w:spacing w:line="240" w:lineRule="auto"/>
              <w:ind w:right="113"/>
              <w:rPr>
                <w:rFonts w:ascii="Arial" w:hAnsi="Arial" w:cs="Arial"/>
                <w:b/>
                <w:sz w:val="16"/>
              </w:rPr>
            </w:pPr>
            <w:r>
              <w:rPr>
                <w:rFonts w:ascii="Arial" w:hAnsi="Arial" w:cs="Arial"/>
                <w:b/>
                <w:sz w:val="16"/>
              </w:rPr>
              <w:t>-</w:t>
            </w:r>
          </w:p>
        </w:tc>
      </w:tr>
      <w:tr w:rsidR="00002686" w:rsidRPr="000E620F" w14:paraId="5924DA0C" w14:textId="77777777" w:rsidTr="005C0E14">
        <w:trPr>
          <w:trHeight w:val="251"/>
        </w:trPr>
        <w:tc>
          <w:tcPr>
            <w:tcW w:w="1618" w:type="dxa"/>
            <w:tcBorders>
              <w:top w:val="single" w:sz="4" w:space="0" w:color="000000"/>
              <w:left w:val="nil"/>
              <w:bottom w:val="single" w:sz="4" w:space="0" w:color="000000"/>
              <w:right w:val="nil"/>
            </w:tcBorders>
            <w:vAlign w:val="bottom"/>
          </w:tcPr>
          <w:p w14:paraId="0B867EBC" w14:textId="7F5C5067" w:rsidR="00002686" w:rsidRPr="000E620F" w:rsidRDefault="00002686" w:rsidP="00F97702">
            <w:pPr>
              <w:pStyle w:val="TableParagraph"/>
              <w:spacing w:line="240" w:lineRule="auto"/>
              <w:ind w:right="113"/>
              <w:jc w:val="left"/>
              <w:rPr>
                <w:rFonts w:ascii="Arial" w:hAnsi="Arial" w:cs="Arial"/>
                <w:sz w:val="12"/>
              </w:rPr>
            </w:pPr>
            <w:r w:rsidRPr="000E620F">
              <w:rPr>
                <w:rFonts w:ascii="Arial" w:hAnsi="Arial" w:cs="Arial"/>
                <w:sz w:val="16"/>
                <w:szCs w:val="16"/>
                <w:lang w:val="en-US"/>
              </w:rPr>
              <w:t>Total</w:t>
            </w:r>
          </w:p>
        </w:tc>
        <w:tc>
          <w:tcPr>
            <w:tcW w:w="792" w:type="dxa"/>
            <w:tcBorders>
              <w:top w:val="single" w:sz="4" w:space="0" w:color="000000"/>
              <w:left w:val="nil"/>
              <w:bottom w:val="single" w:sz="4" w:space="0" w:color="000000"/>
              <w:right w:val="nil"/>
            </w:tcBorders>
            <w:vAlign w:val="bottom"/>
          </w:tcPr>
          <w:p w14:paraId="41B8A672" w14:textId="77777777" w:rsidR="00002686" w:rsidRPr="000E620F" w:rsidRDefault="00002686" w:rsidP="00012463">
            <w:pPr>
              <w:pStyle w:val="TableParagraph"/>
              <w:spacing w:line="240" w:lineRule="auto"/>
              <w:rPr>
                <w:rFonts w:ascii="Arial" w:hAnsi="Arial" w:cs="Arial"/>
                <w:sz w:val="12"/>
              </w:rPr>
            </w:pPr>
          </w:p>
        </w:tc>
        <w:tc>
          <w:tcPr>
            <w:tcW w:w="1559" w:type="dxa"/>
            <w:tcBorders>
              <w:top w:val="single" w:sz="4" w:space="0" w:color="000000"/>
              <w:left w:val="nil"/>
              <w:bottom w:val="single" w:sz="4" w:space="0" w:color="000000"/>
              <w:right w:val="nil"/>
            </w:tcBorders>
            <w:vAlign w:val="bottom"/>
            <w:hideMark/>
          </w:tcPr>
          <w:p w14:paraId="63D64D70" w14:textId="0C283CA3" w:rsidR="00002686" w:rsidRPr="000E620F" w:rsidRDefault="002325BB" w:rsidP="00012463">
            <w:pPr>
              <w:pStyle w:val="TableParagraph"/>
              <w:spacing w:before="2" w:line="164" w:lineRule="exact"/>
              <w:ind w:right="138"/>
              <w:rPr>
                <w:rFonts w:ascii="Arial" w:hAnsi="Arial" w:cs="Arial"/>
                <w:sz w:val="16"/>
              </w:rPr>
            </w:pPr>
            <w:r w:rsidRPr="000E620F">
              <w:rPr>
                <w:rFonts w:ascii="Arial" w:hAnsi="Arial" w:cs="Arial"/>
                <w:sz w:val="16"/>
              </w:rPr>
              <w:t>6</w:t>
            </w:r>
            <w:r w:rsidR="00002686" w:rsidRPr="000E620F">
              <w:rPr>
                <w:rFonts w:ascii="Arial" w:hAnsi="Arial" w:cs="Arial"/>
                <w:sz w:val="16"/>
              </w:rPr>
              <w:t>,</w:t>
            </w:r>
            <w:r w:rsidR="00123610">
              <w:rPr>
                <w:rFonts w:ascii="Arial" w:hAnsi="Arial" w:cs="Arial"/>
                <w:sz w:val="16"/>
              </w:rPr>
              <w:t>7</w:t>
            </w:r>
            <w:r w:rsidRPr="000E620F">
              <w:rPr>
                <w:rFonts w:ascii="Arial" w:hAnsi="Arial" w:cs="Arial"/>
                <w:sz w:val="16"/>
              </w:rPr>
              <w:t>37</w:t>
            </w:r>
            <w:r w:rsidR="00002686" w:rsidRPr="000E620F">
              <w:rPr>
                <w:rFonts w:ascii="Arial" w:hAnsi="Arial" w:cs="Arial"/>
                <w:sz w:val="16"/>
              </w:rPr>
              <w:t>,</w:t>
            </w:r>
            <w:r w:rsidRPr="000E620F">
              <w:rPr>
                <w:rFonts w:ascii="Arial" w:hAnsi="Arial" w:cs="Arial"/>
                <w:sz w:val="16"/>
              </w:rPr>
              <w:t>5</w:t>
            </w:r>
            <w:r w:rsidR="00002686" w:rsidRPr="000E620F">
              <w:rPr>
                <w:rFonts w:ascii="Arial" w:hAnsi="Arial" w:cs="Arial"/>
                <w:sz w:val="16"/>
              </w:rPr>
              <w:t>00</w:t>
            </w:r>
          </w:p>
        </w:tc>
        <w:tc>
          <w:tcPr>
            <w:tcW w:w="850" w:type="dxa"/>
            <w:tcBorders>
              <w:top w:val="single" w:sz="4" w:space="0" w:color="000000"/>
              <w:left w:val="nil"/>
              <w:bottom w:val="single" w:sz="4" w:space="0" w:color="000000"/>
              <w:right w:val="nil"/>
            </w:tcBorders>
            <w:vAlign w:val="bottom"/>
          </w:tcPr>
          <w:p w14:paraId="2F659C5A" w14:textId="1452AEFC" w:rsidR="00002686" w:rsidRPr="00A10E12" w:rsidRDefault="002325BB" w:rsidP="00012463">
            <w:pPr>
              <w:pStyle w:val="TableParagraph"/>
              <w:spacing w:line="240" w:lineRule="auto"/>
              <w:ind w:right="113"/>
              <w:rPr>
                <w:rFonts w:ascii="Arial" w:hAnsi="Arial" w:cs="Arial"/>
                <w:sz w:val="16"/>
                <w:szCs w:val="16"/>
              </w:rPr>
            </w:pPr>
            <w:r w:rsidRPr="00A10E12">
              <w:rPr>
                <w:rFonts w:ascii="Arial" w:hAnsi="Arial" w:cs="Arial"/>
                <w:sz w:val="16"/>
                <w:szCs w:val="16"/>
              </w:rPr>
              <w:t>-</w:t>
            </w:r>
          </w:p>
        </w:tc>
        <w:tc>
          <w:tcPr>
            <w:tcW w:w="993" w:type="dxa"/>
            <w:tcBorders>
              <w:top w:val="single" w:sz="4" w:space="0" w:color="000000"/>
              <w:left w:val="nil"/>
              <w:bottom w:val="single" w:sz="4" w:space="0" w:color="000000"/>
              <w:right w:val="nil"/>
            </w:tcBorders>
            <w:vAlign w:val="bottom"/>
            <w:hideMark/>
          </w:tcPr>
          <w:p w14:paraId="682BFA4A" w14:textId="62C4F1AD" w:rsidR="00002686" w:rsidRPr="000E620F" w:rsidRDefault="00A048EC" w:rsidP="00012463">
            <w:pPr>
              <w:pStyle w:val="TableParagraph"/>
              <w:tabs>
                <w:tab w:val="left" w:pos="390"/>
              </w:tabs>
              <w:spacing w:before="2" w:line="240" w:lineRule="auto"/>
              <w:ind w:left="23" w:right="113"/>
              <w:rPr>
                <w:rFonts w:ascii="Arial" w:hAnsi="Arial" w:cs="Arial"/>
                <w:sz w:val="16"/>
              </w:rPr>
            </w:pPr>
            <w:r w:rsidRPr="000E620F">
              <w:rPr>
                <w:rFonts w:ascii="Arial" w:hAnsi="Arial" w:cs="Arial"/>
                <w:sz w:val="16"/>
              </w:rPr>
              <w:t>-</w:t>
            </w:r>
          </w:p>
        </w:tc>
        <w:tc>
          <w:tcPr>
            <w:tcW w:w="1134" w:type="dxa"/>
            <w:tcBorders>
              <w:top w:val="single" w:sz="4" w:space="0" w:color="000000"/>
              <w:left w:val="nil"/>
              <w:bottom w:val="single" w:sz="4" w:space="0" w:color="000000"/>
              <w:right w:val="nil"/>
            </w:tcBorders>
            <w:vAlign w:val="bottom"/>
          </w:tcPr>
          <w:p w14:paraId="7A2DE1AA" w14:textId="4E34C29E" w:rsidR="00002686" w:rsidRPr="00A10E12" w:rsidRDefault="002325BB" w:rsidP="00012463">
            <w:pPr>
              <w:pStyle w:val="TableParagraph"/>
              <w:spacing w:line="240" w:lineRule="auto"/>
              <w:ind w:right="113"/>
              <w:rPr>
                <w:rFonts w:ascii="Arial" w:hAnsi="Arial" w:cs="Arial"/>
                <w:sz w:val="16"/>
                <w:szCs w:val="16"/>
              </w:rPr>
            </w:pPr>
            <w:r w:rsidRPr="00A10E12">
              <w:rPr>
                <w:rFonts w:ascii="Arial" w:hAnsi="Arial" w:cs="Arial"/>
                <w:sz w:val="16"/>
                <w:szCs w:val="16"/>
              </w:rPr>
              <w:t>(</w:t>
            </w:r>
            <w:r w:rsidR="00123610" w:rsidRPr="00A10E12">
              <w:rPr>
                <w:rFonts w:ascii="Arial" w:hAnsi="Arial" w:cs="Arial"/>
                <w:sz w:val="16"/>
                <w:szCs w:val="16"/>
              </w:rPr>
              <w:t>6,737,500)</w:t>
            </w:r>
          </w:p>
        </w:tc>
        <w:tc>
          <w:tcPr>
            <w:tcW w:w="1275" w:type="dxa"/>
            <w:tcBorders>
              <w:top w:val="single" w:sz="4" w:space="0" w:color="000000"/>
              <w:left w:val="nil"/>
              <w:bottom w:val="single" w:sz="4" w:space="0" w:color="000000"/>
              <w:right w:val="nil"/>
            </w:tcBorders>
            <w:vAlign w:val="bottom"/>
            <w:hideMark/>
          </w:tcPr>
          <w:p w14:paraId="4D372F78" w14:textId="354A5A08" w:rsidR="00002686" w:rsidRPr="000E620F" w:rsidRDefault="00123610" w:rsidP="00012463">
            <w:pPr>
              <w:pStyle w:val="TableParagraph"/>
              <w:tabs>
                <w:tab w:val="left" w:pos="461"/>
              </w:tabs>
              <w:spacing w:line="240" w:lineRule="auto"/>
              <w:ind w:right="113"/>
              <w:rPr>
                <w:rFonts w:ascii="Arial" w:hAnsi="Arial" w:cs="Arial"/>
                <w:b/>
                <w:sz w:val="16"/>
              </w:rPr>
            </w:pPr>
            <w:r>
              <w:rPr>
                <w:rFonts w:ascii="Arial" w:hAnsi="Arial" w:cs="Arial"/>
                <w:b/>
                <w:sz w:val="16"/>
              </w:rPr>
              <w:t>-</w:t>
            </w:r>
          </w:p>
        </w:tc>
      </w:tr>
      <w:tr w:rsidR="00002686" w:rsidRPr="00BC1781" w14:paraId="14570E7F" w14:textId="77777777" w:rsidTr="005C0E14">
        <w:trPr>
          <w:trHeight w:val="186"/>
        </w:trPr>
        <w:tc>
          <w:tcPr>
            <w:tcW w:w="1618" w:type="dxa"/>
            <w:tcBorders>
              <w:top w:val="single" w:sz="4" w:space="0" w:color="000000"/>
              <w:left w:val="nil"/>
              <w:bottom w:val="single" w:sz="4" w:space="0" w:color="000000"/>
              <w:right w:val="nil"/>
            </w:tcBorders>
            <w:vAlign w:val="bottom"/>
          </w:tcPr>
          <w:p w14:paraId="03D0DCF7" w14:textId="5B35B49B" w:rsidR="00002686" w:rsidRPr="000E620F" w:rsidRDefault="00002686" w:rsidP="00F97702">
            <w:pPr>
              <w:pStyle w:val="TableParagraph"/>
              <w:spacing w:line="240" w:lineRule="auto"/>
              <w:ind w:right="113"/>
              <w:jc w:val="left"/>
              <w:rPr>
                <w:rFonts w:ascii="Arial" w:hAnsi="Arial" w:cs="Arial"/>
                <w:sz w:val="16"/>
                <w:szCs w:val="16"/>
                <w:lang w:val="en-US"/>
              </w:rPr>
            </w:pPr>
            <w:r w:rsidRPr="000E620F">
              <w:rPr>
                <w:rFonts w:ascii="Arial" w:hAnsi="Arial" w:cs="Arial"/>
                <w:sz w:val="16"/>
              </w:rPr>
              <w:t>Weighted average exercise price</w:t>
            </w:r>
          </w:p>
        </w:tc>
        <w:tc>
          <w:tcPr>
            <w:tcW w:w="792" w:type="dxa"/>
            <w:tcBorders>
              <w:top w:val="single" w:sz="4" w:space="0" w:color="000000"/>
              <w:left w:val="nil"/>
              <w:bottom w:val="single" w:sz="4" w:space="0" w:color="000000"/>
              <w:right w:val="nil"/>
            </w:tcBorders>
            <w:vAlign w:val="bottom"/>
          </w:tcPr>
          <w:p w14:paraId="7EB9B064" w14:textId="77777777" w:rsidR="00002686" w:rsidRPr="000E620F" w:rsidRDefault="00002686" w:rsidP="00012463">
            <w:pPr>
              <w:pStyle w:val="TableParagraph"/>
              <w:spacing w:line="240" w:lineRule="auto"/>
              <w:rPr>
                <w:rFonts w:ascii="Arial" w:hAnsi="Arial" w:cs="Arial"/>
                <w:sz w:val="12"/>
              </w:rPr>
            </w:pPr>
          </w:p>
        </w:tc>
        <w:tc>
          <w:tcPr>
            <w:tcW w:w="1559" w:type="dxa"/>
            <w:tcBorders>
              <w:top w:val="single" w:sz="4" w:space="0" w:color="000000"/>
              <w:left w:val="nil"/>
              <w:bottom w:val="single" w:sz="4" w:space="0" w:color="000000"/>
              <w:right w:val="nil"/>
            </w:tcBorders>
            <w:vAlign w:val="bottom"/>
          </w:tcPr>
          <w:p w14:paraId="34B0E32A" w14:textId="65D72D6A" w:rsidR="00002686" w:rsidRPr="000E620F" w:rsidRDefault="00002686" w:rsidP="00012463">
            <w:pPr>
              <w:pStyle w:val="TableParagraph"/>
              <w:spacing w:before="2" w:line="164" w:lineRule="exact"/>
              <w:ind w:right="138"/>
              <w:rPr>
                <w:rFonts w:ascii="Arial" w:hAnsi="Arial" w:cs="Arial"/>
                <w:sz w:val="16"/>
              </w:rPr>
            </w:pPr>
            <w:r w:rsidRPr="000E620F">
              <w:rPr>
                <w:rFonts w:ascii="Arial" w:hAnsi="Arial" w:cs="Arial"/>
                <w:sz w:val="16"/>
              </w:rPr>
              <w:t>0.</w:t>
            </w:r>
            <w:r w:rsidR="00123610">
              <w:rPr>
                <w:rFonts w:ascii="Arial" w:hAnsi="Arial" w:cs="Arial"/>
                <w:sz w:val="16"/>
              </w:rPr>
              <w:t>46</w:t>
            </w:r>
          </w:p>
        </w:tc>
        <w:tc>
          <w:tcPr>
            <w:tcW w:w="850" w:type="dxa"/>
            <w:tcBorders>
              <w:top w:val="single" w:sz="4" w:space="0" w:color="000000"/>
              <w:left w:val="nil"/>
              <w:bottom w:val="single" w:sz="4" w:space="0" w:color="000000"/>
              <w:right w:val="nil"/>
            </w:tcBorders>
            <w:vAlign w:val="bottom"/>
          </w:tcPr>
          <w:p w14:paraId="01079F66" w14:textId="2925A970" w:rsidR="00002686" w:rsidRPr="00A10E12" w:rsidRDefault="002325BB" w:rsidP="00A35A0A">
            <w:pPr>
              <w:pStyle w:val="TableParagraph"/>
              <w:spacing w:before="2" w:line="164" w:lineRule="exact"/>
              <w:ind w:right="138"/>
              <w:rPr>
                <w:rFonts w:ascii="Arial" w:hAnsi="Arial" w:cs="Arial"/>
                <w:sz w:val="16"/>
                <w:szCs w:val="16"/>
              </w:rPr>
            </w:pPr>
            <w:r w:rsidRPr="00A10E12">
              <w:rPr>
                <w:rFonts w:ascii="Arial" w:hAnsi="Arial" w:cs="Arial"/>
                <w:sz w:val="16"/>
                <w:szCs w:val="16"/>
              </w:rPr>
              <w:t>-</w:t>
            </w:r>
          </w:p>
        </w:tc>
        <w:tc>
          <w:tcPr>
            <w:tcW w:w="993" w:type="dxa"/>
            <w:tcBorders>
              <w:top w:val="single" w:sz="4" w:space="0" w:color="000000"/>
              <w:left w:val="nil"/>
              <w:bottom w:val="single" w:sz="4" w:space="0" w:color="000000"/>
              <w:right w:val="nil"/>
            </w:tcBorders>
            <w:vAlign w:val="bottom"/>
          </w:tcPr>
          <w:p w14:paraId="1C7AB711" w14:textId="55705CFF" w:rsidR="00002686" w:rsidRPr="000E620F" w:rsidRDefault="00A048EC" w:rsidP="00012463">
            <w:pPr>
              <w:pStyle w:val="TableParagraph"/>
              <w:tabs>
                <w:tab w:val="left" w:pos="390"/>
              </w:tabs>
              <w:spacing w:before="2" w:line="240" w:lineRule="auto"/>
              <w:ind w:left="23" w:right="113"/>
              <w:rPr>
                <w:rFonts w:ascii="Arial" w:hAnsi="Arial" w:cs="Arial"/>
                <w:sz w:val="16"/>
              </w:rPr>
            </w:pPr>
            <w:r w:rsidRPr="000E620F">
              <w:rPr>
                <w:rFonts w:ascii="Arial" w:hAnsi="Arial" w:cs="Arial"/>
                <w:sz w:val="16"/>
              </w:rPr>
              <w:t>-</w:t>
            </w:r>
          </w:p>
        </w:tc>
        <w:tc>
          <w:tcPr>
            <w:tcW w:w="1134" w:type="dxa"/>
            <w:tcBorders>
              <w:top w:val="single" w:sz="4" w:space="0" w:color="000000"/>
              <w:left w:val="nil"/>
              <w:bottom w:val="single" w:sz="4" w:space="0" w:color="000000"/>
              <w:right w:val="nil"/>
            </w:tcBorders>
            <w:vAlign w:val="bottom"/>
          </w:tcPr>
          <w:p w14:paraId="2ACDC4B2" w14:textId="52954637" w:rsidR="00002686" w:rsidRPr="00A10E12" w:rsidRDefault="002325BB" w:rsidP="00012463">
            <w:pPr>
              <w:pStyle w:val="TableParagraph"/>
              <w:spacing w:line="240" w:lineRule="auto"/>
              <w:ind w:right="113"/>
              <w:rPr>
                <w:rFonts w:ascii="Arial" w:hAnsi="Arial" w:cs="Arial"/>
                <w:sz w:val="16"/>
                <w:szCs w:val="16"/>
              </w:rPr>
            </w:pPr>
            <w:r w:rsidRPr="00A10E12">
              <w:rPr>
                <w:rFonts w:ascii="Arial" w:hAnsi="Arial" w:cs="Arial"/>
                <w:sz w:val="16"/>
                <w:szCs w:val="16"/>
              </w:rPr>
              <w:t>0.</w:t>
            </w:r>
            <w:r w:rsidR="00123610" w:rsidRPr="00A10E12">
              <w:rPr>
                <w:rFonts w:ascii="Arial" w:hAnsi="Arial" w:cs="Arial"/>
                <w:sz w:val="16"/>
                <w:szCs w:val="16"/>
              </w:rPr>
              <w:t>46</w:t>
            </w:r>
          </w:p>
        </w:tc>
        <w:tc>
          <w:tcPr>
            <w:tcW w:w="1275" w:type="dxa"/>
            <w:tcBorders>
              <w:top w:val="single" w:sz="4" w:space="0" w:color="000000"/>
              <w:left w:val="nil"/>
              <w:bottom w:val="single" w:sz="4" w:space="0" w:color="000000"/>
              <w:right w:val="nil"/>
            </w:tcBorders>
            <w:vAlign w:val="bottom"/>
          </w:tcPr>
          <w:p w14:paraId="32FFA483" w14:textId="75E6D6B8" w:rsidR="00002686" w:rsidRPr="000E620F" w:rsidRDefault="00123610" w:rsidP="00012463">
            <w:pPr>
              <w:pStyle w:val="TableParagraph"/>
              <w:tabs>
                <w:tab w:val="left" w:pos="461"/>
              </w:tabs>
              <w:spacing w:line="240" w:lineRule="auto"/>
              <w:ind w:right="113"/>
              <w:rPr>
                <w:rFonts w:ascii="Arial" w:hAnsi="Arial"/>
                <w:b/>
                <w:sz w:val="16"/>
              </w:rPr>
            </w:pPr>
            <w:r>
              <w:rPr>
                <w:rFonts w:ascii="Arial" w:hAnsi="Arial"/>
                <w:b/>
                <w:sz w:val="16"/>
              </w:rPr>
              <w:t>-</w:t>
            </w:r>
          </w:p>
        </w:tc>
      </w:tr>
    </w:tbl>
    <w:p w14:paraId="679B9433" w14:textId="77777777" w:rsidR="00A10E12" w:rsidRDefault="00A10E12" w:rsidP="00A5315A">
      <w:pPr>
        <w:pStyle w:val="BodyText"/>
        <w:ind w:left="800" w:right="777"/>
        <w:jc w:val="both"/>
        <w:rPr>
          <w:rFonts w:ascii="Arial" w:hAnsi="Arial" w:cs="Arial"/>
          <w:b/>
          <w:bCs/>
        </w:rPr>
      </w:pPr>
    </w:p>
    <w:p w14:paraId="15841E9D" w14:textId="251667DF" w:rsidR="00142D48" w:rsidRPr="000E620F" w:rsidRDefault="00A5315A" w:rsidP="00A5315A">
      <w:pPr>
        <w:pStyle w:val="BodyText"/>
        <w:ind w:left="800" w:right="777"/>
        <w:jc w:val="both"/>
        <w:rPr>
          <w:rFonts w:ascii="Arial" w:hAnsi="Arial" w:cs="Arial"/>
        </w:rPr>
      </w:pPr>
      <w:r w:rsidRPr="000E620F">
        <w:rPr>
          <w:rFonts w:ascii="Arial" w:hAnsi="Arial" w:cs="Arial"/>
          <w:b/>
          <w:bCs/>
        </w:rPr>
        <w:t>The following table reflects the continuity of warrants as at December 31, 20</w:t>
      </w:r>
      <w:r w:rsidR="00CE1142" w:rsidRPr="000E620F">
        <w:rPr>
          <w:rFonts w:ascii="Arial" w:hAnsi="Arial" w:cs="Arial"/>
          <w:b/>
          <w:bCs/>
        </w:rPr>
        <w:t>2</w:t>
      </w:r>
      <w:r w:rsidR="00123610">
        <w:rPr>
          <w:rFonts w:ascii="Arial" w:hAnsi="Arial" w:cs="Arial"/>
          <w:b/>
          <w:bCs/>
        </w:rPr>
        <w:t>2</w:t>
      </w:r>
      <w:r w:rsidRPr="000E620F">
        <w:rPr>
          <w:rFonts w:ascii="Arial" w:hAnsi="Arial" w:cs="Arial"/>
          <w:b/>
          <w:bCs/>
        </w:rPr>
        <w:t>:</w:t>
      </w:r>
    </w:p>
    <w:p w14:paraId="5E61F2C4" w14:textId="77777777" w:rsidR="00A5315A" w:rsidRPr="000E620F" w:rsidRDefault="00A5315A" w:rsidP="007B2708">
      <w:pPr>
        <w:pStyle w:val="BodyText"/>
        <w:ind w:left="800" w:right="777"/>
        <w:jc w:val="both"/>
        <w:rPr>
          <w:rFonts w:ascii="Arial" w:hAnsi="Arial" w:cs="Arial"/>
        </w:rPr>
      </w:pPr>
    </w:p>
    <w:tbl>
      <w:tblPr>
        <w:tblW w:w="0" w:type="auto"/>
        <w:tblInd w:w="851" w:type="dxa"/>
        <w:tblLayout w:type="fixed"/>
        <w:tblCellMar>
          <w:left w:w="0" w:type="dxa"/>
          <w:right w:w="0" w:type="dxa"/>
        </w:tblCellMar>
        <w:tblLook w:val="01E0" w:firstRow="1" w:lastRow="1" w:firstColumn="1" w:lastColumn="1" w:noHBand="0" w:noVBand="0"/>
      </w:tblPr>
      <w:tblGrid>
        <w:gridCol w:w="1618"/>
        <w:gridCol w:w="792"/>
        <w:gridCol w:w="1559"/>
        <w:gridCol w:w="850"/>
        <w:gridCol w:w="993"/>
        <w:gridCol w:w="1077"/>
        <w:gridCol w:w="1332"/>
      </w:tblGrid>
      <w:tr w:rsidR="002474B8" w:rsidRPr="000E620F" w14:paraId="614A9145" w14:textId="77777777" w:rsidTr="005C0E14">
        <w:trPr>
          <w:trHeight w:val="551"/>
        </w:trPr>
        <w:tc>
          <w:tcPr>
            <w:tcW w:w="1618" w:type="dxa"/>
          </w:tcPr>
          <w:p w14:paraId="06BCE3F8" w14:textId="6E953399" w:rsidR="00B54F3F" w:rsidRPr="000E620F" w:rsidRDefault="00B54F3F" w:rsidP="00396B63">
            <w:pPr>
              <w:pStyle w:val="TableParagraph"/>
              <w:spacing w:before="158" w:line="167" w:lineRule="exact"/>
              <w:ind w:left="51"/>
              <w:jc w:val="left"/>
              <w:rPr>
                <w:rFonts w:ascii="Arial" w:hAnsi="Arial" w:cs="Arial"/>
                <w:b/>
                <w:sz w:val="16"/>
              </w:rPr>
            </w:pPr>
            <w:r w:rsidRPr="000E620F">
              <w:rPr>
                <w:rFonts w:ascii="Arial" w:hAnsi="Arial" w:cs="Arial"/>
                <w:b/>
                <w:sz w:val="16"/>
              </w:rPr>
              <w:t>Expiry Date</w:t>
            </w:r>
          </w:p>
        </w:tc>
        <w:tc>
          <w:tcPr>
            <w:tcW w:w="792" w:type="dxa"/>
            <w:vAlign w:val="center"/>
          </w:tcPr>
          <w:p w14:paraId="7E99EF35" w14:textId="77777777" w:rsidR="00B54F3F" w:rsidRPr="000E620F" w:rsidRDefault="00B54F3F" w:rsidP="002474B8">
            <w:pPr>
              <w:pStyle w:val="TableParagraph"/>
              <w:spacing w:line="240" w:lineRule="auto"/>
              <w:jc w:val="center"/>
              <w:rPr>
                <w:rFonts w:ascii="Arial" w:hAnsi="Arial" w:cs="Arial"/>
                <w:b/>
                <w:sz w:val="16"/>
              </w:rPr>
            </w:pPr>
            <w:r w:rsidRPr="000E620F">
              <w:rPr>
                <w:rFonts w:ascii="Arial" w:hAnsi="Arial" w:cs="Arial"/>
                <w:b/>
                <w:sz w:val="16"/>
              </w:rPr>
              <w:t>Exercise Price</w:t>
            </w:r>
          </w:p>
        </w:tc>
        <w:tc>
          <w:tcPr>
            <w:tcW w:w="1559" w:type="dxa"/>
            <w:vAlign w:val="center"/>
            <w:hideMark/>
          </w:tcPr>
          <w:p w14:paraId="696B1E49" w14:textId="486ED96E" w:rsidR="00B54F3F" w:rsidRPr="000E620F" w:rsidRDefault="00B54F3F" w:rsidP="002474B8">
            <w:pPr>
              <w:pStyle w:val="TableParagraph"/>
              <w:spacing w:line="240" w:lineRule="auto"/>
              <w:jc w:val="center"/>
              <w:rPr>
                <w:rFonts w:ascii="Arial" w:hAnsi="Arial" w:cs="Arial"/>
                <w:b/>
                <w:sz w:val="16"/>
              </w:rPr>
            </w:pPr>
            <w:r w:rsidRPr="000E620F">
              <w:rPr>
                <w:rFonts w:ascii="Arial" w:hAnsi="Arial" w:cs="Arial"/>
                <w:b/>
                <w:sz w:val="16"/>
              </w:rPr>
              <w:t>20</w:t>
            </w:r>
            <w:r w:rsidR="00CE1142" w:rsidRPr="000E620F">
              <w:rPr>
                <w:rFonts w:ascii="Arial" w:hAnsi="Arial" w:cs="Arial"/>
                <w:b/>
                <w:sz w:val="16"/>
              </w:rPr>
              <w:t>2</w:t>
            </w:r>
            <w:r w:rsidR="00123610">
              <w:rPr>
                <w:rFonts w:ascii="Arial" w:hAnsi="Arial" w:cs="Arial"/>
                <w:b/>
                <w:sz w:val="16"/>
              </w:rPr>
              <w:t>2</w:t>
            </w:r>
            <w:r w:rsidR="002474B8" w:rsidRPr="000E620F">
              <w:rPr>
                <w:rFonts w:ascii="Arial" w:hAnsi="Arial" w:cs="Arial"/>
                <w:b/>
                <w:sz w:val="16"/>
              </w:rPr>
              <w:t xml:space="preserve"> </w:t>
            </w:r>
            <w:r w:rsidRPr="000E620F">
              <w:rPr>
                <w:rFonts w:ascii="Arial" w:hAnsi="Arial" w:cs="Arial"/>
                <w:b/>
                <w:sz w:val="16"/>
              </w:rPr>
              <w:t>Opening Balance</w:t>
            </w:r>
          </w:p>
        </w:tc>
        <w:tc>
          <w:tcPr>
            <w:tcW w:w="850" w:type="dxa"/>
            <w:vAlign w:val="center"/>
          </w:tcPr>
          <w:p w14:paraId="39CFEA81" w14:textId="77777777" w:rsidR="00B54F3F" w:rsidRPr="00A10E12" w:rsidRDefault="00B54F3F" w:rsidP="002474B8">
            <w:pPr>
              <w:pStyle w:val="TableParagraph"/>
              <w:spacing w:line="240" w:lineRule="auto"/>
              <w:jc w:val="center"/>
              <w:rPr>
                <w:rFonts w:ascii="Arial" w:hAnsi="Arial" w:cs="Arial"/>
                <w:b/>
                <w:sz w:val="16"/>
                <w:szCs w:val="16"/>
              </w:rPr>
            </w:pPr>
            <w:r w:rsidRPr="00A10E12">
              <w:rPr>
                <w:rFonts w:ascii="Arial" w:hAnsi="Arial" w:cs="Arial"/>
                <w:b/>
                <w:sz w:val="16"/>
                <w:szCs w:val="16"/>
              </w:rPr>
              <w:t>Warrants Issued</w:t>
            </w:r>
          </w:p>
        </w:tc>
        <w:tc>
          <w:tcPr>
            <w:tcW w:w="993" w:type="dxa"/>
            <w:vAlign w:val="center"/>
          </w:tcPr>
          <w:p w14:paraId="3634807F" w14:textId="77777777" w:rsidR="00B54F3F" w:rsidRPr="00A10E12" w:rsidRDefault="00B54F3F" w:rsidP="002474B8">
            <w:pPr>
              <w:pStyle w:val="TableParagraph"/>
              <w:spacing w:line="240" w:lineRule="auto"/>
              <w:jc w:val="center"/>
              <w:rPr>
                <w:rFonts w:ascii="Arial" w:hAnsi="Arial" w:cs="Arial"/>
                <w:b/>
                <w:sz w:val="16"/>
                <w:szCs w:val="16"/>
              </w:rPr>
            </w:pPr>
            <w:r w:rsidRPr="00A10E12">
              <w:rPr>
                <w:rFonts w:ascii="Arial" w:hAnsi="Arial" w:cs="Arial"/>
                <w:b/>
                <w:sz w:val="16"/>
                <w:szCs w:val="16"/>
              </w:rPr>
              <w:t>Warrants Exercised</w:t>
            </w:r>
          </w:p>
        </w:tc>
        <w:tc>
          <w:tcPr>
            <w:tcW w:w="1077" w:type="dxa"/>
            <w:vAlign w:val="center"/>
          </w:tcPr>
          <w:p w14:paraId="0005A69B" w14:textId="77777777" w:rsidR="00B54F3F" w:rsidRPr="00A10E12" w:rsidRDefault="00B54F3F" w:rsidP="002474B8">
            <w:pPr>
              <w:pStyle w:val="TableParagraph"/>
              <w:spacing w:line="240" w:lineRule="auto"/>
              <w:ind w:hanging="53"/>
              <w:jc w:val="center"/>
              <w:rPr>
                <w:rFonts w:ascii="Arial" w:hAnsi="Arial" w:cs="Arial"/>
                <w:b/>
                <w:sz w:val="16"/>
                <w:szCs w:val="16"/>
              </w:rPr>
            </w:pPr>
            <w:r w:rsidRPr="00A10E12">
              <w:rPr>
                <w:rFonts w:ascii="Arial" w:hAnsi="Arial" w:cs="Arial"/>
                <w:b/>
                <w:sz w:val="16"/>
                <w:szCs w:val="16"/>
              </w:rPr>
              <w:t>Warrants Expired</w:t>
            </w:r>
          </w:p>
        </w:tc>
        <w:tc>
          <w:tcPr>
            <w:tcW w:w="1332" w:type="dxa"/>
            <w:vAlign w:val="center"/>
            <w:hideMark/>
          </w:tcPr>
          <w:p w14:paraId="53724193" w14:textId="6CA04147" w:rsidR="00B54F3F" w:rsidRPr="000E620F" w:rsidRDefault="00B54F3F" w:rsidP="002474B8">
            <w:pPr>
              <w:pStyle w:val="TableParagraph"/>
              <w:spacing w:line="240" w:lineRule="auto"/>
              <w:jc w:val="center"/>
              <w:rPr>
                <w:rFonts w:ascii="Arial" w:hAnsi="Arial" w:cs="Arial"/>
                <w:b/>
                <w:sz w:val="16"/>
              </w:rPr>
            </w:pPr>
            <w:r w:rsidRPr="000E620F">
              <w:rPr>
                <w:rFonts w:ascii="Arial" w:hAnsi="Arial" w:cs="Arial"/>
                <w:b/>
                <w:sz w:val="16"/>
              </w:rPr>
              <w:t>20</w:t>
            </w:r>
            <w:r w:rsidR="00CE1142" w:rsidRPr="000E620F">
              <w:rPr>
                <w:rFonts w:ascii="Arial" w:hAnsi="Arial" w:cs="Arial"/>
                <w:b/>
                <w:sz w:val="16"/>
              </w:rPr>
              <w:t>2</w:t>
            </w:r>
            <w:r w:rsidR="00123610">
              <w:rPr>
                <w:rFonts w:ascii="Arial" w:hAnsi="Arial" w:cs="Arial"/>
                <w:b/>
                <w:sz w:val="16"/>
              </w:rPr>
              <w:t>2</w:t>
            </w:r>
            <w:r w:rsidR="002474B8" w:rsidRPr="000E620F">
              <w:rPr>
                <w:rFonts w:ascii="Arial" w:hAnsi="Arial" w:cs="Arial"/>
                <w:b/>
                <w:sz w:val="16"/>
              </w:rPr>
              <w:t xml:space="preserve"> </w:t>
            </w:r>
            <w:r w:rsidRPr="000E620F">
              <w:rPr>
                <w:rFonts w:ascii="Arial" w:hAnsi="Arial" w:cs="Arial"/>
                <w:b/>
                <w:sz w:val="16"/>
              </w:rPr>
              <w:t>Closing</w:t>
            </w:r>
            <w:r w:rsidR="002474B8" w:rsidRPr="000E620F">
              <w:rPr>
                <w:rFonts w:ascii="Arial" w:hAnsi="Arial" w:cs="Arial"/>
                <w:b/>
                <w:sz w:val="16"/>
              </w:rPr>
              <w:t xml:space="preserve"> </w:t>
            </w:r>
            <w:r w:rsidRPr="000E620F">
              <w:rPr>
                <w:rFonts w:ascii="Arial" w:hAnsi="Arial" w:cs="Arial"/>
                <w:b/>
                <w:sz w:val="16"/>
              </w:rPr>
              <w:t>Balance</w:t>
            </w:r>
          </w:p>
        </w:tc>
      </w:tr>
      <w:tr w:rsidR="002474B8" w:rsidRPr="000E620F" w14:paraId="0A227A12" w14:textId="77777777" w:rsidTr="005C0E14">
        <w:trPr>
          <w:trHeight w:val="199"/>
        </w:trPr>
        <w:tc>
          <w:tcPr>
            <w:tcW w:w="1618" w:type="dxa"/>
            <w:tcBorders>
              <w:top w:val="nil"/>
              <w:left w:val="nil"/>
              <w:bottom w:val="single" w:sz="4" w:space="0" w:color="000000"/>
              <w:right w:val="nil"/>
            </w:tcBorders>
          </w:tcPr>
          <w:p w14:paraId="04B4015A" w14:textId="77777777" w:rsidR="00B54F3F" w:rsidRPr="000E620F" w:rsidRDefault="00B54F3F">
            <w:pPr>
              <w:pStyle w:val="TableParagraph"/>
              <w:spacing w:line="240" w:lineRule="auto"/>
              <w:jc w:val="left"/>
              <w:rPr>
                <w:rFonts w:ascii="Arial" w:hAnsi="Arial" w:cs="Arial"/>
                <w:sz w:val="12"/>
              </w:rPr>
            </w:pPr>
          </w:p>
        </w:tc>
        <w:tc>
          <w:tcPr>
            <w:tcW w:w="792" w:type="dxa"/>
            <w:tcBorders>
              <w:top w:val="nil"/>
              <w:left w:val="nil"/>
              <w:bottom w:val="single" w:sz="4" w:space="0" w:color="000000"/>
              <w:right w:val="nil"/>
            </w:tcBorders>
            <w:hideMark/>
          </w:tcPr>
          <w:p w14:paraId="08A481C9" w14:textId="77777777" w:rsidR="00B54F3F" w:rsidRPr="000E620F" w:rsidRDefault="00B54F3F" w:rsidP="002474B8">
            <w:pPr>
              <w:pStyle w:val="TableParagraph"/>
              <w:spacing w:line="180" w:lineRule="exact"/>
              <w:jc w:val="center"/>
              <w:rPr>
                <w:rFonts w:ascii="Arial" w:hAnsi="Arial" w:cs="Arial"/>
                <w:b/>
                <w:sz w:val="16"/>
              </w:rPr>
            </w:pPr>
            <w:r w:rsidRPr="000E620F">
              <w:rPr>
                <w:rFonts w:ascii="Arial" w:hAnsi="Arial" w:cs="Arial"/>
                <w:b/>
                <w:sz w:val="16"/>
              </w:rPr>
              <w:t>$</w:t>
            </w:r>
          </w:p>
        </w:tc>
        <w:tc>
          <w:tcPr>
            <w:tcW w:w="1559" w:type="dxa"/>
            <w:tcBorders>
              <w:top w:val="nil"/>
              <w:left w:val="nil"/>
              <w:bottom w:val="single" w:sz="4" w:space="0" w:color="000000"/>
              <w:right w:val="nil"/>
            </w:tcBorders>
            <w:hideMark/>
          </w:tcPr>
          <w:p w14:paraId="2A13B651" w14:textId="77777777" w:rsidR="00B54F3F" w:rsidRPr="000E620F" w:rsidRDefault="00B54F3F" w:rsidP="002474B8">
            <w:pPr>
              <w:pStyle w:val="TableParagraph"/>
              <w:spacing w:line="180" w:lineRule="exact"/>
              <w:ind w:right="37"/>
              <w:jc w:val="center"/>
              <w:rPr>
                <w:rFonts w:ascii="Arial" w:hAnsi="Arial" w:cs="Arial"/>
                <w:b/>
                <w:sz w:val="16"/>
              </w:rPr>
            </w:pPr>
            <w:r w:rsidRPr="000E620F">
              <w:rPr>
                <w:rFonts w:ascii="Arial" w:hAnsi="Arial" w:cs="Arial"/>
                <w:b/>
                <w:sz w:val="16"/>
              </w:rPr>
              <w:t>#</w:t>
            </w:r>
          </w:p>
        </w:tc>
        <w:tc>
          <w:tcPr>
            <w:tcW w:w="850" w:type="dxa"/>
            <w:tcBorders>
              <w:top w:val="nil"/>
              <w:left w:val="nil"/>
              <w:bottom w:val="single" w:sz="4" w:space="0" w:color="000000"/>
              <w:right w:val="nil"/>
            </w:tcBorders>
            <w:hideMark/>
          </w:tcPr>
          <w:p w14:paraId="5146010A" w14:textId="77777777" w:rsidR="00B54F3F" w:rsidRPr="00A10E12" w:rsidRDefault="00B54F3F" w:rsidP="002474B8">
            <w:pPr>
              <w:pStyle w:val="TableParagraph"/>
              <w:spacing w:line="180" w:lineRule="exact"/>
              <w:jc w:val="center"/>
              <w:rPr>
                <w:rFonts w:ascii="Arial" w:hAnsi="Arial" w:cs="Arial"/>
                <w:b/>
                <w:sz w:val="16"/>
                <w:szCs w:val="16"/>
              </w:rPr>
            </w:pPr>
            <w:r w:rsidRPr="00A10E12">
              <w:rPr>
                <w:rFonts w:ascii="Arial" w:hAnsi="Arial" w:cs="Arial"/>
                <w:b/>
                <w:sz w:val="16"/>
                <w:szCs w:val="16"/>
              </w:rPr>
              <w:t>#</w:t>
            </w:r>
          </w:p>
        </w:tc>
        <w:tc>
          <w:tcPr>
            <w:tcW w:w="993" w:type="dxa"/>
            <w:tcBorders>
              <w:top w:val="nil"/>
              <w:left w:val="nil"/>
              <w:bottom w:val="single" w:sz="4" w:space="0" w:color="000000"/>
              <w:right w:val="nil"/>
            </w:tcBorders>
            <w:hideMark/>
          </w:tcPr>
          <w:p w14:paraId="05A2BEA5" w14:textId="77777777" w:rsidR="00B54F3F" w:rsidRPr="00A10E12" w:rsidRDefault="00B54F3F" w:rsidP="002474B8">
            <w:pPr>
              <w:pStyle w:val="TableParagraph"/>
              <w:spacing w:line="180" w:lineRule="exact"/>
              <w:jc w:val="center"/>
              <w:rPr>
                <w:rFonts w:ascii="Arial" w:hAnsi="Arial" w:cs="Arial"/>
                <w:b/>
                <w:sz w:val="16"/>
                <w:szCs w:val="16"/>
              </w:rPr>
            </w:pPr>
            <w:r w:rsidRPr="00A10E12">
              <w:rPr>
                <w:rFonts w:ascii="Arial" w:hAnsi="Arial" w:cs="Arial"/>
                <w:b/>
                <w:sz w:val="16"/>
                <w:szCs w:val="16"/>
              </w:rPr>
              <w:t>#</w:t>
            </w:r>
          </w:p>
        </w:tc>
        <w:tc>
          <w:tcPr>
            <w:tcW w:w="1077" w:type="dxa"/>
            <w:tcBorders>
              <w:top w:val="nil"/>
              <w:left w:val="nil"/>
              <w:bottom w:val="single" w:sz="4" w:space="0" w:color="000000"/>
              <w:right w:val="nil"/>
            </w:tcBorders>
            <w:hideMark/>
          </w:tcPr>
          <w:p w14:paraId="4F786388" w14:textId="77777777" w:rsidR="00B54F3F" w:rsidRPr="00A10E12" w:rsidRDefault="00B54F3F" w:rsidP="002474B8">
            <w:pPr>
              <w:pStyle w:val="TableParagraph"/>
              <w:spacing w:line="180" w:lineRule="exact"/>
              <w:jc w:val="center"/>
              <w:rPr>
                <w:rFonts w:ascii="Arial" w:hAnsi="Arial" w:cs="Arial"/>
                <w:b/>
                <w:sz w:val="16"/>
                <w:szCs w:val="16"/>
              </w:rPr>
            </w:pPr>
            <w:r w:rsidRPr="00A10E12">
              <w:rPr>
                <w:rFonts w:ascii="Arial" w:hAnsi="Arial" w:cs="Arial"/>
                <w:b/>
                <w:sz w:val="16"/>
                <w:szCs w:val="16"/>
              </w:rPr>
              <w:t>#</w:t>
            </w:r>
          </w:p>
        </w:tc>
        <w:tc>
          <w:tcPr>
            <w:tcW w:w="1332" w:type="dxa"/>
            <w:tcBorders>
              <w:top w:val="nil"/>
              <w:left w:val="nil"/>
              <w:bottom w:val="single" w:sz="4" w:space="0" w:color="000000"/>
              <w:right w:val="nil"/>
            </w:tcBorders>
            <w:hideMark/>
          </w:tcPr>
          <w:p w14:paraId="588F3CF5" w14:textId="77777777" w:rsidR="00B54F3F" w:rsidRPr="000E620F" w:rsidRDefault="00B54F3F" w:rsidP="002474B8">
            <w:pPr>
              <w:pStyle w:val="TableParagraph"/>
              <w:spacing w:line="180" w:lineRule="exact"/>
              <w:jc w:val="center"/>
              <w:rPr>
                <w:rFonts w:ascii="Arial" w:hAnsi="Arial" w:cs="Arial"/>
                <w:b/>
                <w:sz w:val="16"/>
              </w:rPr>
            </w:pPr>
            <w:r w:rsidRPr="000E620F">
              <w:rPr>
                <w:rFonts w:ascii="Arial" w:hAnsi="Arial" w:cs="Arial"/>
                <w:b/>
                <w:sz w:val="16"/>
              </w:rPr>
              <w:t>#</w:t>
            </w:r>
          </w:p>
        </w:tc>
      </w:tr>
      <w:tr w:rsidR="002474B8" w:rsidRPr="000E620F" w14:paraId="2F92BD74" w14:textId="77777777" w:rsidTr="005C0E14">
        <w:trPr>
          <w:trHeight w:val="184"/>
        </w:trPr>
        <w:tc>
          <w:tcPr>
            <w:tcW w:w="1618" w:type="dxa"/>
            <w:vAlign w:val="center"/>
            <w:hideMark/>
          </w:tcPr>
          <w:p w14:paraId="602D2B4B" w14:textId="77777777" w:rsidR="00B54F3F" w:rsidRPr="000E620F" w:rsidRDefault="00B54F3F" w:rsidP="008B68E2">
            <w:pPr>
              <w:pStyle w:val="TableParagraph"/>
              <w:ind w:left="50"/>
              <w:jc w:val="left"/>
              <w:rPr>
                <w:rFonts w:ascii="Arial" w:hAnsi="Arial" w:cs="Arial"/>
                <w:sz w:val="16"/>
              </w:rPr>
            </w:pPr>
            <w:r w:rsidRPr="000E620F">
              <w:rPr>
                <w:rFonts w:ascii="Arial" w:hAnsi="Arial" w:cs="Arial"/>
                <w:sz w:val="16"/>
              </w:rPr>
              <w:t>November 15, 2022</w:t>
            </w:r>
          </w:p>
        </w:tc>
        <w:tc>
          <w:tcPr>
            <w:tcW w:w="792" w:type="dxa"/>
            <w:vAlign w:val="center"/>
            <w:hideMark/>
          </w:tcPr>
          <w:p w14:paraId="3FE2D39B" w14:textId="77777777" w:rsidR="00B54F3F" w:rsidRPr="000E620F" w:rsidRDefault="00B54F3F" w:rsidP="002474B8">
            <w:pPr>
              <w:pStyle w:val="TableParagraph"/>
              <w:spacing w:line="240" w:lineRule="auto"/>
              <w:ind w:right="113"/>
              <w:rPr>
                <w:rFonts w:ascii="Arial" w:hAnsi="Arial" w:cs="Arial"/>
                <w:sz w:val="16"/>
              </w:rPr>
            </w:pPr>
            <w:r w:rsidRPr="000E620F">
              <w:rPr>
                <w:rFonts w:ascii="Arial" w:hAnsi="Arial" w:cs="Arial"/>
                <w:sz w:val="16"/>
              </w:rPr>
              <w:t>0.35</w:t>
            </w:r>
          </w:p>
        </w:tc>
        <w:tc>
          <w:tcPr>
            <w:tcW w:w="1559" w:type="dxa"/>
            <w:vAlign w:val="center"/>
            <w:hideMark/>
          </w:tcPr>
          <w:p w14:paraId="7BDCC8B5" w14:textId="77777777" w:rsidR="00B54F3F" w:rsidRPr="000E620F" w:rsidRDefault="00B54F3F" w:rsidP="002135D8">
            <w:pPr>
              <w:pStyle w:val="TableParagraph"/>
              <w:spacing w:line="240" w:lineRule="auto"/>
              <w:ind w:right="113"/>
              <w:rPr>
                <w:rFonts w:ascii="Arial" w:hAnsi="Arial" w:cs="Arial"/>
                <w:sz w:val="16"/>
              </w:rPr>
            </w:pPr>
            <w:r w:rsidRPr="000E620F">
              <w:rPr>
                <w:rFonts w:ascii="Arial" w:hAnsi="Arial" w:cs="Arial"/>
                <w:sz w:val="16"/>
              </w:rPr>
              <w:t>10,100,000</w:t>
            </w:r>
          </w:p>
        </w:tc>
        <w:tc>
          <w:tcPr>
            <w:tcW w:w="850" w:type="dxa"/>
            <w:vAlign w:val="center"/>
          </w:tcPr>
          <w:p w14:paraId="600CBB11" w14:textId="32F3677D" w:rsidR="00B54F3F" w:rsidRPr="00A10E12" w:rsidRDefault="00A048EC" w:rsidP="00F42BC5">
            <w:pPr>
              <w:pStyle w:val="TableParagraph"/>
              <w:spacing w:line="240" w:lineRule="auto"/>
              <w:ind w:right="113"/>
              <w:rPr>
                <w:rFonts w:ascii="Arial" w:hAnsi="Arial" w:cs="Arial"/>
                <w:sz w:val="16"/>
                <w:szCs w:val="16"/>
              </w:rPr>
            </w:pPr>
            <w:r w:rsidRPr="00A10E12">
              <w:rPr>
                <w:rFonts w:ascii="Arial" w:hAnsi="Arial" w:cs="Arial"/>
                <w:sz w:val="16"/>
                <w:szCs w:val="16"/>
              </w:rPr>
              <w:t>-</w:t>
            </w:r>
          </w:p>
        </w:tc>
        <w:tc>
          <w:tcPr>
            <w:tcW w:w="993" w:type="dxa"/>
            <w:vAlign w:val="center"/>
            <w:hideMark/>
          </w:tcPr>
          <w:p w14:paraId="637169FE" w14:textId="3147BAC5" w:rsidR="00B54F3F" w:rsidRPr="00A10E12" w:rsidRDefault="00A048EC" w:rsidP="002135D8">
            <w:pPr>
              <w:pStyle w:val="TableParagraph"/>
              <w:tabs>
                <w:tab w:val="left" w:pos="1103"/>
              </w:tabs>
              <w:spacing w:line="240" w:lineRule="auto"/>
              <w:ind w:right="113"/>
              <w:rPr>
                <w:rFonts w:ascii="Arial" w:hAnsi="Arial" w:cs="Arial"/>
                <w:sz w:val="16"/>
                <w:szCs w:val="16"/>
              </w:rPr>
            </w:pPr>
            <w:r w:rsidRPr="00A10E12">
              <w:rPr>
                <w:rFonts w:ascii="Arial" w:hAnsi="Arial" w:cs="Arial"/>
                <w:sz w:val="16"/>
                <w:szCs w:val="16"/>
              </w:rPr>
              <w:t>-</w:t>
            </w:r>
          </w:p>
        </w:tc>
        <w:tc>
          <w:tcPr>
            <w:tcW w:w="1077" w:type="dxa"/>
            <w:vAlign w:val="center"/>
          </w:tcPr>
          <w:p w14:paraId="10FC27EB" w14:textId="55D63410" w:rsidR="00B54F3F" w:rsidRPr="00A10E12" w:rsidRDefault="00123610" w:rsidP="00F42BC5">
            <w:pPr>
              <w:pStyle w:val="TableParagraph"/>
              <w:spacing w:line="240" w:lineRule="auto"/>
              <w:ind w:right="113"/>
              <w:rPr>
                <w:rFonts w:ascii="Arial" w:hAnsi="Arial" w:cs="Arial"/>
                <w:sz w:val="16"/>
                <w:szCs w:val="16"/>
              </w:rPr>
            </w:pPr>
            <w:r w:rsidRPr="00A10E12">
              <w:rPr>
                <w:rFonts w:ascii="Arial" w:hAnsi="Arial" w:cs="Arial"/>
                <w:sz w:val="16"/>
                <w:szCs w:val="16"/>
              </w:rPr>
              <w:t>(10,100,000)</w:t>
            </w:r>
          </w:p>
        </w:tc>
        <w:tc>
          <w:tcPr>
            <w:tcW w:w="1332" w:type="dxa"/>
            <w:vAlign w:val="center"/>
            <w:hideMark/>
          </w:tcPr>
          <w:p w14:paraId="34941267" w14:textId="20CA0706" w:rsidR="00B54F3F" w:rsidRPr="000E620F" w:rsidRDefault="00123610" w:rsidP="002135D8">
            <w:pPr>
              <w:pStyle w:val="TableParagraph"/>
              <w:tabs>
                <w:tab w:val="left" w:pos="461"/>
              </w:tabs>
              <w:spacing w:line="240" w:lineRule="auto"/>
              <w:ind w:right="113"/>
              <w:rPr>
                <w:rFonts w:ascii="Arial" w:hAnsi="Arial"/>
                <w:sz w:val="16"/>
              </w:rPr>
            </w:pPr>
            <w:r>
              <w:rPr>
                <w:rFonts w:ascii="Arial" w:hAnsi="Arial"/>
                <w:sz w:val="16"/>
              </w:rPr>
              <w:t>-</w:t>
            </w:r>
          </w:p>
        </w:tc>
      </w:tr>
      <w:tr w:rsidR="002325BB" w:rsidRPr="000E620F" w14:paraId="71D6DD2F" w14:textId="77777777" w:rsidTr="005C0E14">
        <w:trPr>
          <w:trHeight w:val="213"/>
        </w:trPr>
        <w:tc>
          <w:tcPr>
            <w:tcW w:w="1618" w:type="dxa"/>
            <w:tcBorders>
              <w:top w:val="nil"/>
              <w:left w:val="nil"/>
              <w:right w:val="nil"/>
            </w:tcBorders>
            <w:vAlign w:val="center"/>
          </w:tcPr>
          <w:p w14:paraId="33D7D3FB" w14:textId="10DC4E5C" w:rsidR="002325BB" w:rsidRPr="000E620F" w:rsidRDefault="002325BB" w:rsidP="008B68E2">
            <w:pPr>
              <w:pStyle w:val="TableParagraph"/>
              <w:spacing w:line="182" w:lineRule="exact"/>
              <w:ind w:left="50"/>
              <w:jc w:val="left"/>
              <w:rPr>
                <w:rFonts w:ascii="Arial" w:hAnsi="Arial" w:cs="Arial"/>
                <w:sz w:val="16"/>
              </w:rPr>
            </w:pPr>
            <w:r w:rsidRPr="000E620F">
              <w:rPr>
                <w:rFonts w:ascii="Arial" w:hAnsi="Arial" w:cs="Arial"/>
                <w:sz w:val="16"/>
              </w:rPr>
              <w:t>January 15, 2023</w:t>
            </w:r>
          </w:p>
        </w:tc>
        <w:tc>
          <w:tcPr>
            <w:tcW w:w="792" w:type="dxa"/>
            <w:tcBorders>
              <w:top w:val="nil"/>
              <w:left w:val="nil"/>
              <w:right w:val="nil"/>
            </w:tcBorders>
            <w:vAlign w:val="center"/>
          </w:tcPr>
          <w:p w14:paraId="79EC219E" w14:textId="15CB04C0" w:rsidR="002325BB" w:rsidRPr="000E620F" w:rsidRDefault="002325BB" w:rsidP="002474B8">
            <w:pPr>
              <w:pStyle w:val="TableParagraph"/>
              <w:spacing w:line="240" w:lineRule="auto"/>
              <w:ind w:right="113"/>
              <w:rPr>
                <w:rFonts w:ascii="Arial" w:hAnsi="Arial" w:cs="Arial"/>
                <w:sz w:val="16"/>
              </w:rPr>
            </w:pPr>
            <w:r w:rsidRPr="000E620F">
              <w:rPr>
                <w:rFonts w:ascii="Arial" w:hAnsi="Arial" w:cs="Arial"/>
                <w:sz w:val="16"/>
              </w:rPr>
              <w:t>0.61</w:t>
            </w:r>
          </w:p>
        </w:tc>
        <w:tc>
          <w:tcPr>
            <w:tcW w:w="1559" w:type="dxa"/>
            <w:tcBorders>
              <w:top w:val="nil"/>
              <w:left w:val="nil"/>
              <w:right w:val="nil"/>
            </w:tcBorders>
            <w:vAlign w:val="center"/>
          </w:tcPr>
          <w:p w14:paraId="72D297A4" w14:textId="30039824" w:rsidR="002325BB" w:rsidRPr="000E620F" w:rsidRDefault="002325BB" w:rsidP="002135D8">
            <w:pPr>
              <w:pStyle w:val="TableParagraph"/>
              <w:spacing w:line="240" w:lineRule="auto"/>
              <w:ind w:right="113"/>
              <w:rPr>
                <w:rFonts w:ascii="Arial" w:hAnsi="Arial" w:cs="Arial"/>
                <w:sz w:val="16"/>
              </w:rPr>
            </w:pPr>
            <w:r w:rsidRPr="000E620F">
              <w:rPr>
                <w:rFonts w:ascii="Arial" w:hAnsi="Arial" w:cs="Arial"/>
                <w:sz w:val="16"/>
              </w:rPr>
              <w:t>375,000</w:t>
            </w:r>
          </w:p>
        </w:tc>
        <w:tc>
          <w:tcPr>
            <w:tcW w:w="850" w:type="dxa"/>
            <w:tcBorders>
              <w:top w:val="nil"/>
              <w:left w:val="nil"/>
              <w:right w:val="nil"/>
            </w:tcBorders>
            <w:vAlign w:val="center"/>
          </w:tcPr>
          <w:p w14:paraId="1410687D" w14:textId="25C917EA" w:rsidR="002325BB" w:rsidRPr="00A10E12" w:rsidRDefault="000E620F" w:rsidP="00F42BC5">
            <w:pPr>
              <w:pStyle w:val="TableParagraph"/>
              <w:spacing w:line="240" w:lineRule="auto"/>
              <w:ind w:right="113"/>
              <w:rPr>
                <w:rFonts w:ascii="Arial" w:hAnsi="Arial" w:cs="Arial"/>
                <w:sz w:val="16"/>
                <w:szCs w:val="16"/>
              </w:rPr>
            </w:pPr>
            <w:r w:rsidRPr="00A10E12">
              <w:rPr>
                <w:rFonts w:ascii="Arial" w:hAnsi="Arial" w:cs="Arial"/>
                <w:sz w:val="16"/>
                <w:szCs w:val="16"/>
              </w:rPr>
              <w:t>-</w:t>
            </w:r>
          </w:p>
        </w:tc>
        <w:tc>
          <w:tcPr>
            <w:tcW w:w="993" w:type="dxa"/>
            <w:tcBorders>
              <w:top w:val="nil"/>
              <w:left w:val="nil"/>
              <w:right w:val="nil"/>
            </w:tcBorders>
            <w:vAlign w:val="center"/>
          </w:tcPr>
          <w:p w14:paraId="54854B44" w14:textId="2EA7319E" w:rsidR="002325BB" w:rsidRPr="00A10E12" w:rsidRDefault="000E620F" w:rsidP="002135D8">
            <w:pPr>
              <w:pStyle w:val="TableParagraph"/>
              <w:tabs>
                <w:tab w:val="left" w:pos="1103"/>
              </w:tabs>
              <w:spacing w:line="240" w:lineRule="auto"/>
              <w:ind w:right="113"/>
              <w:rPr>
                <w:rFonts w:ascii="Arial" w:hAnsi="Arial" w:cs="Arial"/>
                <w:sz w:val="16"/>
                <w:szCs w:val="16"/>
              </w:rPr>
            </w:pPr>
            <w:r w:rsidRPr="00A10E12">
              <w:rPr>
                <w:rFonts w:ascii="Arial" w:hAnsi="Arial" w:cs="Arial"/>
                <w:sz w:val="16"/>
                <w:szCs w:val="16"/>
              </w:rPr>
              <w:t>-</w:t>
            </w:r>
          </w:p>
        </w:tc>
        <w:tc>
          <w:tcPr>
            <w:tcW w:w="1077" w:type="dxa"/>
            <w:tcBorders>
              <w:top w:val="nil"/>
              <w:left w:val="nil"/>
              <w:right w:val="nil"/>
            </w:tcBorders>
            <w:vAlign w:val="center"/>
          </w:tcPr>
          <w:p w14:paraId="18A550F6" w14:textId="5F274A6C" w:rsidR="002325BB" w:rsidRPr="00A10E12" w:rsidRDefault="000E620F" w:rsidP="00F42BC5">
            <w:pPr>
              <w:pStyle w:val="TableParagraph"/>
              <w:spacing w:line="240" w:lineRule="auto"/>
              <w:ind w:right="113"/>
              <w:rPr>
                <w:rFonts w:ascii="Arial" w:hAnsi="Arial" w:cs="Arial"/>
                <w:sz w:val="16"/>
                <w:szCs w:val="16"/>
              </w:rPr>
            </w:pPr>
            <w:r w:rsidRPr="00A10E12">
              <w:rPr>
                <w:rFonts w:ascii="Arial" w:hAnsi="Arial" w:cs="Arial"/>
                <w:sz w:val="16"/>
                <w:szCs w:val="16"/>
              </w:rPr>
              <w:t>-</w:t>
            </w:r>
          </w:p>
        </w:tc>
        <w:tc>
          <w:tcPr>
            <w:tcW w:w="1332" w:type="dxa"/>
            <w:tcBorders>
              <w:top w:val="nil"/>
              <w:left w:val="nil"/>
              <w:right w:val="nil"/>
            </w:tcBorders>
            <w:vAlign w:val="center"/>
          </w:tcPr>
          <w:p w14:paraId="191FBE5E" w14:textId="45B2B814" w:rsidR="002325BB" w:rsidRPr="000E620F" w:rsidRDefault="002325BB" w:rsidP="002135D8">
            <w:pPr>
              <w:pStyle w:val="TableParagraph"/>
              <w:tabs>
                <w:tab w:val="left" w:pos="684"/>
              </w:tabs>
              <w:spacing w:line="240" w:lineRule="auto"/>
              <w:ind w:right="113"/>
              <w:rPr>
                <w:rFonts w:ascii="Arial" w:hAnsi="Arial"/>
                <w:sz w:val="16"/>
              </w:rPr>
            </w:pPr>
            <w:r w:rsidRPr="000E620F">
              <w:rPr>
                <w:rFonts w:ascii="Arial" w:hAnsi="Arial"/>
                <w:sz w:val="16"/>
              </w:rPr>
              <w:t>375,000</w:t>
            </w:r>
          </w:p>
        </w:tc>
      </w:tr>
      <w:tr w:rsidR="002474B8" w:rsidRPr="000E620F" w14:paraId="79FA19C3" w14:textId="77777777" w:rsidTr="005C0E14">
        <w:trPr>
          <w:trHeight w:val="213"/>
        </w:trPr>
        <w:tc>
          <w:tcPr>
            <w:tcW w:w="1618" w:type="dxa"/>
            <w:tcBorders>
              <w:left w:val="nil"/>
              <w:bottom w:val="single" w:sz="4" w:space="0" w:color="000000"/>
              <w:right w:val="nil"/>
            </w:tcBorders>
            <w:vAlign w:val="center"/>
            <w:hideMark/>
          </w:tcPr>
          <w:p w14:paraId="2B7AE249" w14:textId="04DCEB0F" w:rsidR="00B54F3F" w:rsidRPr="000E620F" w:rsidRDefault="00BC1781" w:rsidP="008B68E2">
            <w:pPr>
              <w:pStyle w:val="TableParagraph"/>
              <w:spacing w:line="182" w:lineRule="exact"/>
              <w:ind w:left="50"/>
              <w:jc w:val="left"/>
              <w:rPr>
                <w:rFonts w:ascii="Arial" w:hAnsi="Arial" w:cs="Arial"/>
                <w:sz w:val="16"/>
              </w:rPr>
            </w:pPr>
            <w:r w:rsidRPr="000E620F">
              <w:rPr>
                <w:rFonts w:ascii="Arial" w:hAnsi="Arial" w:cs="Arial"/>
                <w:sz w:val="16"/>
              </w:rPr>
              <w:t>March 30</w:t>
            </w:r>
            <w:r w:rsidR="00B54F3F" w:rsidRPr="000E620F">
              <w:rPr>
                <w:rFonts w:ascii="Arial" w:hAnsi="Arial" w:cs="Arial"/>
                <w:sz w:val="16"/>
              </w:rPr>
              <w:t>, 2023</w:t>
            </w:r>
          </w:p>
        </w:tc>
        <w:tc>
          <w:tcPr>
            <w:tcW w:w="792" w:type="dxa"/>
            <w:tcBorders>
              <w:left w:val="nil"/>
              <w:bottom w:val="single" w:sz="4" w:space="0" w:color="000000"/>
              <w:right w:val="nil"/>
            </w:tcBorders>
            <w:vAlign w:val="center"/>
            <w:hideMark/>
          </w:tcPr>
          <w:p w14:paraId="2447C783" w14:textId="75482CED" w:rsidR="00B54F3F" w:rsidRPr="000E620F" w:rsidRDefault="00B54F3F" w:rsidP="002474B8">
            <w:pPr>
              <w:pStyle w:val="TableParagraph"/>
              <w:spacing w:line="240" w:lineRule="auto"/>
              <w:ind w:right="113"/>
              <w:rPr>
                <w:rFonts w:ascii="Arial" w:hAnsi="Arial" w:cs="Arial"/>
                <w:sz w:val="16"/>
              </w:rPr>
            </w:pPr>
            <w:r w:rsidRPr="000E620F">
              <w:rPr>
                <w:rFonts w:ascii="Arial" w:hAnsi="Arial" w:cs="Arial"/>
                <w:sz w:val="16"/>
              </w:rPr>
              <w:t>0.</w:t>
            </w:r>
            <w:r w:rsidR="002325BB" w:rsidRPr="000E620F">
              <w:rPr>
                <w:rFonts w:ascii="Arial" w:hAnsi="Arial" w:cs="Arial"/>
                <w:sz w:val="16"/>
              </w:rPr>
              <w:t>45</w:t>
            </w:r>
          </w:p>
        </w:tc>
        <w:tc>
          <w:tcPr>
            <w:tcW w:w="1559" w:type="dxa"/>
            <w:tcBorders>
              <w:left w:val="nil"/>
              <w:bottom w:val="single" w:sz="4" w:space="0" w:color="000000"/>
              <w:right w:val="nil"/>
            </w:tcBorders>
            <w:vAlign w:val="center"/>
            <w:hideMark/>
          </w:tcPr>
          <w:p w14:paraId="70BDC0E2" w14:textId="34DAE048" w:rsidR="00B54F3F" w:rsidRPr="000E620F" w:rsidRDefault="00123610" w:rsidP="002135D8">
            <w:pPr>
              <w:pStyle w:val="TableParagraph"/>
              <w:spacing w:line="240" w:lineRule="auto"/>
              <w:ind w:right="113"/>
              <w:rPr>
                <w:rFonts w:ascii="Arial" w:hAnsi="Arial" w:cs="Arial"/>
                <w:sz w:val="16"/>
              </w:rPr>
            </w:pPr>
            <w:r w:rsidRPr="000E620F">
              <w:rPr>
                <w:rFonts w:ascii="Arial" w:hAnsi="Arial"/>
                <w:sz w:val="16"/>
              </w:rPr>
              <w:t>6,362,500</w:t>
            </w:r>
          </w:p>
        </w:tc>
        <w:tc>
          <w:tcPr>
            <w:tcW w:w="850" w:type="dxa"/>
            <w:tcBorders>
              <w:left w:val="nil"/>
              <w:bottom w:val="single" w:sz="4" w:space="0" w:color="000000"/>
              <w:right w:val="nil"/>
            </w:tcBorders>
            <w:vAlign w:val="center"/>
          </w:tcPr>
          <w:p w14:paraId="3A9D8534" w14:textId="1F655CAA" w:rsidR="00B54F3F" w:rsidRPr="00A10E12" w:rsidRDefault="00123610" w:rsidP="00F42BC5">
            <w:pPr>
              <w:pStyle w:val="TableParagraph"/>
              <w:spacing w:line="240" w:lineRule="auto"/>
              <w:ind w:right="113"/>
              <w:rPr>
                <w:rFonts w:ascii="Arial" w:hAnsi="Arial" w:cs="Arial"/>
                <w:sz w:val="16"/>
                <w:szCs w:val="16"/>
              </w:rPr>
            </w:pPr>
            <w:r w:rsidRPr="00A10E12">
              <w:rPr>
                <w:rFonts w:ascii="Arial" w:hAnsi="Arial" w:cs="Arial"/>
                <w:sz w:val="16"/>
                <w:szCs w:val="16"/>
              </w:rPr>
              <w:t>-</w:t>
            </w:r>
          </w:p>
        </w:tc>
        <w:tc>
          <w:tcPr>
            <w:tcW w:w="993" w:type="dxa"/>
            <w:tcBorders>
              <w:left w:val="nil"/>
              <w:bottom w:val="single" w:sz="4" w:space="0" w:color="000000"/>
              <w:right w:val="nil"/>
            </w:tcBorders>
            <w:vAlign w:val="center"/>
            <w:hideMark/>
          </w:tcPr>
          <w:p w14:paraId="480BF355" w14:textId="27D4EA37" w:rsidR="00B54F3F" w:rsidRPr="00A10E12" w:rsidRDefault="00A048EC" w:rsidP="002135D8">
            <w:pPr>
              <w:pStyle w:val="TableParagraph"/>
              <w:tabs>
                <w:tab w:val="left" w:pos="1103"/>
              </w:tabs>
              <w:spacing w:line="240" w:lineRule="auto"/>
              <w:ind w:right="113"/>
              <w:rPr>
                <w:rFonts w:ascii="Arial" w:hAnsi="Arial" w:cs="Arial"/>
                <w:sz w:val="16"/>
                <w:szCs w:val="16"/>
              </w:rPr>
            </w:pPr>
            <w:r w:rsidRPr="00A10E12">
              <w:rPr>
                <w:rFonts w:ascii="Arial" w:hAnsi="Arial" w:cs="Arial"/>
                <w:sz w:val="16"/>
                <w:szCs w:val="16"/>
              </w:rPr>
              <w:t>-</w:t>
            </w:r>
          </w:p>
        </w:tc>
        <w:tc>
          <w:tcPr>
            <w:tcW w:w="1077" w:type="dxa"/>
            <w:tcBorders>
              <w:left w:val="nil"/>
              <w:bottom w:val="single" w:sz="4" w:space="0" w:color="000000"/>
              <w:right w:val="nil"/>
            </w:tcBorders>
            <w:vAlign w:val="center"/>
          </w:tcPr>
          <w:p w14:paraId="0D82DCBF" w14:textId="16091F2B" w:rsidR="00B54F3F" w:rsidRPr="00A10E12" w:rsidRDefault="00A048EC" w:rsidP="00F42BC5">
            <w:pPr>
              <w:pStyle w:val="TableParagraph"/>
              <w:spacing w:line="240" w:lineRule="auto"/>
              <w:ind w:right="113"/>
              <w:rPr>
                <w:rFonts w:ascii="Arial" w:hAnsi="Arial" w:cs="Arial"/>
                <w:sz w:val="16"/>
                <w:szCs w:val="16"/>
              </w:rPr>
            </w:pPr>
            <w:r w:rsidRPr="00A10E12">
              <w:rPr>
                <w:rFonts w:ascii="Arial" w:hAnsi="Arial" w:cs="Arial"/>
                <w:sz w:val="16"/>
                <w:szCs w:val="16"/>
              </w:rPr>
              <w:t>-</w:t>
            </w:r>
          </w:p>
        </w:tc>
        <w:tc>
          <w:tcPr>
            <w:tcW w:w="1332" w:type="dxa"/>
            <w:tcBorders>
              <w:left w:val="nil"/>
              <w:bottom w:val="single" w:sz="4" w:space="0" w:color="000000"/>
              <w:right w:val="nil"/>
            </w:tcBorders>
            <w:vAlign w:val="center"/>
            <w:hideMark/>
          </w:tcPr>
          <w:p w14:paraId="705B4F32" w14:textId="29707956" w:rsidR="00B54F3F" w:rsidRPr="000E620F" w:rsidRDefault="002325BB" w:rsidP="002135D8">
            <w:pPr>
              <w:pStyle w:val="TableParagraph"/>
              <w:tabs>
                <w:tab w:val="left" w:pos="684"/>
              </w:tabs>
              <w:spacing w:line="240" w:lineRule="auto"/>
              <w:ind w:right="113"/>
              <w:rPr>
                <w:rFonts w:ascii="Arial" w:hAnsi="Arial"/>
                <w:sz w:val="16"/>
              </w:rPr>
            </w:pPr>
            <w:r w:rsidRPr="000E620F">
              <w:rPr>
                <w:rFonts w:ascii="Arial" w:hAnsi="Arial"/>
                <w:sz w:val="16"/>
              </w:rPr>
              <w:t>6,362,500</w:t>
            </w:r>
          </w:p>
        </w:tc>
      </w:tr>
      <w:tr w:rsidR="002474B8" w:rsidRPr="000E620F" w14:paraId="4A7F1E88" w14:textId="77777777" w:rsidTr="005C0E14">
        <w:trPr>
          <w:trHeight w:val="249"/>
        </w:trPr>
        <w:tc>
          <w:tcPr>
            <w:tcW w:w="1618" w:type="dxa"/>
            <w:tcBorders>
              <w:top w:val="single" w:sz="4" w:space="0" w:color="000000"/>
              <w:left w:val="nil"/>
              <w:bottom w:val="single" w:sz="4" w:space="0" w:color="000000"/>
              <w:right w:val="nil"/>
            </w:tcBorders>
            <w:vAlign w:val="bottom"/>
          </w:tcPr>
          <w:p w14:paraId="0ABB3D90" w14:textId="06016A6B" w:rsidR="00002686" w:rsidRPr="000E620F" w:rsidRDefault="00002686" w:rsidP="00F97702">
            <w:pPr>
              <w:pStyle w:val="TableParagraph"/>
              <w:spacing w:line="240" w:lineRule="auto"/>
              <w:ind w:right="113"/>
              <w:jc w:val="left"/>
              <w:rPr>
                <w:rFonts w:ascii="Arial" w:hAnsi="Arial" w:cs="Arial"/>
                <w:sz w:val="12"/>
              </w:rPr>
            </w:pPr>
            <w:r w:rsidRPr="000E620F">
              <w:rPr>
                <w:rFonts w:ascii="Arial" w:hAnsi="Arial" w:cs="Arial"/>
                <w:sz w:val="16"/>
                <w:szCs w:val="16"/>
                <w:lang w:val="en-US"/>
              </w:rPr>
              <w:t>Total</w:t>
            </w:r>
          </w:p>
        </w:tc>
        <w:tc>
          <w:tcPr>
            <w:tcW w:w="792" w:type="dxa"/>
            <w:tcBorders>
              <w:top w:val="single" w:sz="4" w:space="0" w:color="000000"/>
              <w:left w:val="nil"/>
              <w:bottom w:val="single" w:sz="4" w:space="0" w:color="000000"/>
              <w:right w:val="nil"/>
            </w:tcBorders>
            <w:vAlign w:val="bottom"/>
          </w:tcPr>
          <w:p w14:paraId="4C356A32" w14:textId="77777777" w:rsidR="00002686" w:rsidRPr="000E620F" w:rsidRDefault="00002686" w:rsidP="00012463">
            <w:pPr>
              <w:pStyle w:val="TableParagraph"/>
              <w:spacing w:line="240" w:lineRule="auto"/>
              <w:rPr>
                <w:rFonts w:ascii="Arial" w:hAnsi="Arial" w:cs="Arial"/>
                <w:sz w:val="12"/>
              </w:rPr>
            </w:pPr>
          </w:p>
        </w:tc>
        <w:tc>
          <w:tcPr>
            <w:tcW w:w="1559" w:type="dxa"/>
            <w:tcBorders>
              <w:top w:val="single" w:sz="4" w:space="0" w:color="000000"/>
              <w:left w:val="nil"/>
              <w:bottom w:val="single" w:sz="4" w:space="0" w:color="000000"/>
              <w:right w:val="nil"/>
            </w:tcBorders>
            <w:vAlign w:val="bottom"/>
            <w:hideMark/>
          </w:tcPr>
          <w:p w14:paraId="3837D270" w14:textId="5D9A59C0" w:rsidR="00002686" w:rsidRPr="000E620F" w:rsidRDefault="00123610" w:rsidP="00012463">
            <w:pPr>
              <w:pStyle w:val="TableParagraph"/>
              <w:spacing w:before="2" w:line="240" w:lineRule="auto"/>
              <w:ind w:right="113"/>
              <w:rPr>
                <w:rFonts w:ascii="Arial" w:hAnsi="Arial" w:cs="Arial"/>
                <w:sz w:val="16"/>
              </w:rPr>
            </w:pPr>
            <w:r w:rsidRPr="000E620F">
              <w:rPr>
                <w:rFonts w:ascii="Arial" w:hAnsi="Arial"/>
                <w:sz w:val="16"/>
              </w:rPr>
              <w:t>16,837,500</w:t>
            </w:r>
          </w:p>
        </w:tc>
        <w:tc>
          <w:tcPr>
            <w:tcW w:w="850" w:type="dxa"/>
            <w:tcBorders>
              <w:top w:val="single" w:sz="4" w:space="0" w:color="000000"/>
              <w:left w:val="nil"/>
              <w:bottom w:val="single" w:sz="4" w:space="0" w:color="000000"/>
              <w:right w:val="nil"/>
            </w:tcBorders>
            <w:vAlign w:val="bottom"/>
          </w:tcPr>
          <w:p w14:paraId="5090D719" w14:textId="5B779028" w:rsidR="00002686" w:rsidRPr="00A10E12" w:rsidRDefault="00123610" w:rsidP="00012463">
            <w:pPr>
              <w:pStyle w:val="TableParagraph"/>
              <w:spacing w:line="240" w:lineRule="auto"/>
              <w:ind w:right="113"/>
              <w:rPr>
                <w:rFonts w:ascii="Arial" w:hAnsi="Arial" w:cs="Arial"/>
                <w:sz w:val="16"/>
                <w:szCs w:val="16"/>
              </w:rPr>
            </w:pPr>
            <w:r w:rsidRPr="00A10E12">
              <w:rPr>
                <w:rFonts w:ascii="Arial" w:hAnsi="Arial" w:cs="Arial"/>
                <w:sz w:val="16"/>
                <w:szCs w:val="16"/>
              </w:rPr>
              <w:t>-</w:t>
            </w:r>
          </w:p>
        </w:tc>
        <w:tc>
          <w:tcPr>
            <w:tcW w:w="993" w:type="dxa"/>
            <w:tcBorders>
              <w:top w:val="single" w:sz="4" w:space="0" w:color="000000"/>
              <w:left w:val="nil"/>
              <w:bottom w:val="single" w:sz="4" w:space="0" w:color="000000"/>
              <w:right w:val="nil"/>
            </w:tcBorders>
            <w:vAlign w:val="bottom"/>
            <w:hideMark/>
          </w:tcPr>
          <w:p w14:paraId="5F98ADB3" w14:textId="17798041" w:rsidR="00002686" w:rsidRPr="00A10E12" w:rsidRDefault="00BE252D" w:rsidP="00012463">
            <w:pPr>
              <w:pStyle w:val="TableParagraph"/>
              <w:tabs>
                <w:tab w:val="left" w:pos="390"/>
              </w:tabs>
              <w:spacing w:before="2" w:line="240" w:lineRule="auto"/>
              <w:ind w:right="113"/>
              <w:rPr>
                <w:rFonts w:ascii="Arial" w:hAnsi="Arial" w:cs="Arial"/>
                <w:sz w:val="16"/>
                <w:szCs w:val="16"/>
              </w:rPr>
            </w:pPr>
            <w:r w:rsidRPr="00A10E12">
              <w:rPr>
                <w:rFonts w:ascii="Arial" w:hAnsi="Arial" w:cs="Arial"/>
                <w:sz w:val="16"/>
                <w:szCs w:val="16"/>
              </w:rPr>
              <w:t>-</w:t>
            </w:r>
          </w:p>
        </w:tc>
        <w:tc>
          <w:tcPr>
            <w:tcW w:w="1077" w:type="dxa"/>
            <w:tcBorders>
              <w:top w:val="single" w:sz="4" w:space="0" w:color="000000"/>
              <w:left w:val="nil"/>
              <w:bottom w:val="single" w:sz="4" w:space="0" w:color="000000"/>
              <w:right w:val="nil"/>
            </w:tcBorders>
            <w:vAlign w:val="bottom"/>
          </w:tcPr>
          <w:p w14:paraId="7F4CA123" w14:textId="751EBB44" w:rsidR="00002686" w:rsidRPr="00A10E12" w:rsidRDefault="00A048EC" w:rsidP="00012463">
            <w:pPr>
              <w:pStyle w:val="TableParagraph"/>
              <w:spacing w:line="240" w:lineRule="auto"/>
              <w:ind w:right="113"/>
              <w:rPr>
                <w:rFonts w:ascii="Arial" w:hAnsi="Arial" w:cs="Arial"/>
                <w:sz w:val="16"/>
                <w:szCs w:val="16"/>
              </w:rPr>
            </w:pPr>
            <w:r w:rsidRPr="00A10E12">
              <w:rPr>
                <w:rFonts w:ascii="Arial" w:hAnsi="Arial" w:cs="Arial"/>
                <w:sz w:val="16"/>
                <w:szCs w:val="16"/>
              </w:rPr>
              <w:t>-</w:t>
            </w:r>
          </w:p>
        </w:tc>
        <w:tc>
          <w:tcPr>
            <w:tcW w:w="1332" w:type="dxa"/>
            <w:tcBorders>
              <w:top w:val="single" w:sz="4" w:space="0" w:color="000000"/>
              <w:left w:val="nil"/>
              <w:bottom w:val="single" w:sz="4" w:space="0" w:color="000000"/>
              <w:right w:val="nil"/>
            </w:tcBorders>
            <w:vAlign w:val="bottom"/>
            <w:hideMark/>
          </w:tcPr>
          <w:p w14:paraId="39CEB83F" w14:textId="3E890B9A" w:rsidR="00002686" w:rsidRPr="000E620F" w:rsidRDefault="00123610" w:rsidP="00012463">
            <w:pPr>
              <w:pStyle w:val="TableParagraph"/>
              <w:tabs>
                <w:tab w:val="left" w:pos="461"/>
              </w:tabs>
              <w:spacing w:before="2" w:line="240" w:lineRule="auto"/>
              <w:ind w:right="113"/>
              <w:rPr>
                <w:rFonts w:ascii="Arial" w:hAnsi="Arial"/>
                <w:sz w:val="16"/>
              </w:rPr>
            </w:pPr>
            <w:r w:rsidRPr="000E620F">
              <w:rPr>
                <w:rFonts w:ascii="Arial" w:hAnsi="Arial" w:cs="Arial"/>
                <w:sz w:val="16"/>
              </w:rPr>
              <w:t>6,</w:t>
            </w:r>
            <w:r>
              <w:rPr>
                <w:rFonts w:ascii="Arial" w:hAnsi="Arial" w:cs="Arial"/>
                <w:sz w:val="16"/>
              </w:rPr>
              <w:t>7</w:t>
            </w:r>
            <w:r w:rsidRPr="000E620F">
              <w:rPr>
                <w:rFonts w:ascii="Arial" w:hAnsi="Arial" w:cs="Arial"/>
                <w:sz w:val="16"/>
              </w:rPr>
              <w:t>37,500</w:t>
            </w:r>
          </w:p>
        </w:tc>
      </w:tr>
      <w:tr w:rsidR="002474B8" w:rsidRPr="00BC1781" w14:paraId="2F2805FF" w14:textId="77777777" w:rsidTr="005C0E14">
        <w:trPr>
          <w:trHeight w:val="186"/>
        </w:trPr>
        <w:tc>
          <w:tcPr>
            <w:tcW w:w="1618" w:type="dxa"/>
            <w:tcBorders>
              <w:top w:val="single" w:sz="4" w:space="0" w:color="000000"/>
              <w:left w:val="nil"/>
              <w:bottom w:val="single" w:sz="4" w:space="0" w:color="000000"/>
              <w:right w:val="nil"/>
            </w:tcBorders>
            <w:vAlign w:val="bottom"/>
          </w:tcPr>
          <w:p w14:paraId="65BC6D1A" w14:textId="6087564D" w:rsidR="00002686" w:rsidRPr="000E620F" w:rsidRDefault="00002686" w:rsidP="00F97702">
            <w:pPr>
              <w:pStyle w:val="TableParagraph"/>
              <w:spacing w:line="240" w:lineRule="auto"/>
              <w:ind w:right="113"/>
              <w:jc w:val="left"/>
              <w:rPr>
                <w:rFonts w:ascii="Arial" w:hAnsi="Arial" w:cs="Arial"/>
                <w:sz w:val="16"/>
                <w:szCs w:val="16"/>
                <w:lang w:val="en-US"/>
              </w:rPr>
            </w:pPr>
            <w:r w:rsidRPr="000E620F">
              <w:rPr>
                <w:rFonts w:ascii="Arial" w:hAnsi="Arial" w:cs="Arial"/>
                <w:sz w:val="16"/>
              </w:rPr>
              <w:t>Weighted average exercise price</w:t>
            </w:r>
          </w:p>
        </w:tc>
        <w:tc>
          <w:tcPr>
            <w:tcW w:w="792" w:type="dxa"/>
            <w:tcBorders>
              <w:top w:val="single" w:sz="4" w:space="0" w:color="000000"/>
              <w:left w:val="nil"/>
              <w:bottom w:val="single" w:sz="4" w:space="0" w:color="000000"/>
              <w:right w:val="nil"/>
            </w:tcBorders>
            <w:vAlign w:val="bottom"/>
          </w:tcPr>
          <w:p w14:paraId="08B27E6D" w14:textId="77777777" w:rsidR="00002686" w:rsidRPr="000E620F" w:rsidRDefault="00002686" w:rsidP="00012463">
            <w:pPr>
              <w:pStyle w:val="TableParagraph"/>
              <w:spacing w:line="240" w:lineRule="auto"/>
              <w:rPr>
                <w:rFonts w:ascii="Arial" w:hAnsi="Arial" w:cs="Arial"/>
                <w:sz w:val="12"/>
              </w:rPr>
            </w:pPr>
          </w:p>
        </w:tc>
        <w:tc>
          <w:tcPr>
            <w:tcW w:w="1559" w:type="dxa"/>
            <w:tcBorders>
              <w:top w:val="single" w:sz="4" w:space="0" w:color="000000"/>
              <w:left w:val="nil"/>
              <w:bottom w:val="single" w:sz="4" w:space="0" w:color="000000"/>
              <w:right w:val="nil"/>
            </w:tcBorders>
            <w:vAlign w:val="bottom"/>
          </w:tcPr>
          <w:p w14:paraId="42A8D85D" w14:textId="7B312F42" w:rsidR="00002686" w:rsidRPr="000E620F" w:rsidRDefault="00002686" w:rsidP="00012463">
            <w:pPr>
              <w:pStyle w:val="TableParagraph"/>
              <w:spacing w:before="2" w:line="240" w:lineRule="auto"/>
              <w:ind w:right="113"/>
              <w:rPr>
                <w:rFonts w:ascii="Arial" w:hAnsi="Arial" w:cs="Arial"/>
                <w:sz w:val="16"/>
              </w:rPr>
            </w:pPr>
            <w:r w:rsidRPr="000E620F">
              <w:rPr>
                <w:rFonts w:ascii="Arial" w:hAnsi="Arial" w:cs="Arial"/>
                <w:sz w:val="16"/>
              </w:rPr>
              <w:t>0.3</w:t>
            </w:r>
            <w:r w:rsidR="00123610">
              <w:rPr>
                <w:rFonts w:ascii="Arial" w:hAnsi="Arial" w:cs="Arial"/>
                <w:sz w:val="16"/>
              </w:rPr>
              <w:t>9</w:t>
            </w:r>
          </w:p>
        </w:tc>
        <w:tc>
          <w:tcPr>
            <w:tcW w:w="850" w:type="dxa"/>
            <w:tcBorders>
              <w:top w:val="single" w:sz="4" w:space="0" w:color="000000"/>
              <w:left w:val="nil"/>
              <w:bottom w:val="single" w:sz="4" w:space="0" w:color="000000"/>
              <w:right w:val="nil"/>
            </w:tcBorders>
            <w:vAlign w:val="bottom"/>
          </w:tcPr>
          <w:p w14:paraId="62814D89" w14:textId="73F4DF2A" w:rsidR="00002686" w:rsidRPr="00A10E12" w:rsidRDefault="00123610" w:rsidP="00012463">
            <w:pPr>
              <w:pStyle w:val="TableParagraph"/>
              <w:spacing w:line="240" w:lineRule="auto"/>
              <w:ind w:right="113"/>
              <w:rPr>
                <w:rFonts w:ascii="Arial" w:hAnsi="Arial" w:cs="Arial"/>
                <w:sz w:val="16"/>
                <w:szCs w:val="16"/>
              </w:rPr>
            </w:pPr>
            <w:r w:rsidRPr="00A10E12">
              <w:rPr>
                <w:rFonts w:ascii="Arial" w:hAnsi="Arial" w:cs="Arial"/>
                <w:sz w:val="16"/>
                <w:szCs w:val="16"/>
              </w:rPr>
              <w:t>-</w:t>
            </w:r>
          </w:p>
        </w:tc>
        <w:tc>
          <w:tcPr>
            <w:tcW w:w="993" w:type="dxa"/>
            <w:tcBorders>
              <w:top w:val="single" w:sz="4" w:space="0" w:color="000000"/>
              <w:left w:val="nil"/>
              <w:bottom w:val="single" w:sz="4" w:space="0" w:color="000000"/>
              <w:right w:val="nil"/>
            </w:tcBorders>
            <w:vAlign w:val="bottom"/>
          </w:tcPr>
          <w:p w14:paraId="1588743D" w14:textId="2B39FECD" w:rsidR="00002686" w:rsidRPr="00A10E12" w:rsidRDefault="00BE252D" w:rsidP="00012463">
            <w:pPr>
              <w:pStyle w:val="TableParagraph"/>
              <w:tabs>
                <w:tab w:val="left" w:pos="390"/>
              </w:tabs>
              <w:spacing w:before="2" w:line="240" w:lineRule="auto"/>
              <w:ind w:right="113"/>
              <w:rPr>
                <w:rFonts w:ascii="Arial" w:hAnsi="Arial" w:cs="Arial"/>
                <w:sz w:val="16"/>
                <w:szCs w:val="16"/>
              </w:rPr>
            </w:pPr>
            <w:r w:rsidRPr="00A10E12">
              <w:rPr>
                <w:rFonts w:ascii="Arial" w:hAnsi="Arial" w:cs="Arial"/>
                <w:sz w:val="16"/>
                <w:szCs w:val="16"/>
              </w:rPr>
              <w:t>-</w:t>
            </w:r>
          </w:p>
        </w:tc>
        <w:tc>
          <w:tcPr>
            <w:tcW w:w="1077" w:type="dxa"/>
            <w:tcBorders>
              <w:top w:val="single" w:sz="4" w:space="0" w:color="000000"/>
              <w:left w:val="nil"/>
              <w:bottom w:val="single" w:sz="4" w:space="0" w:color="000000"/>
              <w:right w:val="nil"/>
            </w:tcBorders>
            <w:vAlign w:val="bottom"/>
          </w:tcPr>
          <w:p w14:paraId="2EDFF81E" w14:textId="4FEC0694" w:rsidR="00002686" w:rsidRPr="00A10E12" w:rsidRDefault="00123610" w:rsidP="00012463">
            <w:pPr>
              <w:pStyle w:val="TableParagraph"/>
              <w:spacing w:line="240" w:lineRule="auto"/>
              <w:ind w:right="113"/>
              <w:rPr>
                <w:rFonts w:ascii="Arial" w:hAnsi="Arial" w:cs="Arial"/>
                <w:sz w:val="16"/>
                <w:szCs w:val="16"/>
              </w:rPr>
            </w:pPr>
            <w:r w:rsidRPr="00A10E12">
              <w:rPr>
                <w:rFonts w:ascii="Arial" w:hAnsi="Arial" w:cs="Arial"/>
                <w:sz w:val="16"/>
                <w:szCs w:val="16"/>
              </w:rPr>
              <w:t>0.35</w:t>
            </w:r>
          </w:p>
        </w:tc>
        <w:tc>
          <w:tcPr>
            <w:tcW w:w="1332" w:type="dxa"/>
            <w:tcBorders>
              <w:top w:val="single" w:sz="4" w:space="0" w:color="000000"/>
              <w:left w:val="nil"/>
              <w:bottom w:val="single" w:sz="4" w:space="0" w:color="000000"/>
              <w:right w:val="nil"/>
            </w:tcBorders>
            <w:vAlign w:val="bottom"/>
          </w:tcPr>
          <w:p w14:paraId="613E53F7" w14:textId="3AF991E8" w:rsidR="00002686" w:rsidRPr="000E620F" w:rsidRDefault="00002686" w:rsidP="00B008C4">
            <w:pPr>
              <w:pStyle w:val="TableParagraph"/>
              <w:tabs>
                <w:tab w:val="left" w:pos="461"/>
              </w:tabs>
              <w:spacing w:before="2" w:line="240" w:lineRule="auto"/>
              <w:ind w:right="113"/>
              <w:rPr>
                <w:rFonts w:ascii="Arial" w:hAnsi="Arial"/>
                <w:sz w:val="16"/>
              </w:rPr>
            </w:pPr>
            <w:r w:rsidRPr="000E620F">
              <w:rPr>
                <w:rFonts w:ascii="Arial" w:hAnsi="Arial"/>
                <w:sz w:val="16"/>
              </w:rPr>
              <w:t>0.</w:t>
            </w:r>
            <w:r w:rsidR="00123610">
              <w:rPr>
                <w:rFonts w:ascii="Arial" w:hAnsi="Arial"/>
                <w:sz w:val="16"/>
              </w:rPr>
              <w:t>46</w:t>
            </w:r>
          </w:p>
        </w:tc>
      </w:tr>
    </w:tbl>
    <w:p w14:paraId="5B76A773" w14:textId="77777777" w:rsidR="0018650B" w:rsidRDefault="0018650B" w:rsidP="005C0E14">
      <w:pPr>
        <w:pStyle w:val="BodyText"/>
        <w:spacing w:before="5"/>
        <w:ind w:left="851"/>
        <w:rPr>
          <w:rFonts w:ascii="Arial" w:eastAsiaTheme="minorHAnsi" w:hAnsi="Arial" w:cs="Arial"/>
          <w:b/>
          <w:bCs/>
        </w:rPr>
      </w:pPr>
    </w:p>
    <w:p w14:paraId="1DB9AD21" w14:textId="513A4565" w:rsidR="00F71C6E" w:rsidRPr="000E620F" w:rsidRDefault="00F71C6E" w:rsidP="005C0E14">
      <w:pPr>
        <w:pStyle w:val="BodyText"/>
        <w:spacing w:before="5"/>
        <w:ind w:left="851"/>
        <w:rPr>
          <w:rFonts w:ascii="Arial" w:eastAsiaTheme="minorHAnsi" w:hAnsi="Arial" w:cs="Arial"/>
          <w:b/>
          <w:bCs/>
        </w:rPr>
      </w:pPr>
      <w:r w:rsidRPr="000E620F">
        <w:rPr>
          <w:rFonts w:ascii="Arial" w:eastAsiaTheme="minorHAnsi" w:hAnsi="Arial" w:cs="Arial"/>
          <w:b/>
          <w:bCs/>
        </w:rPr>
        <w:t>iv. Share purchase option compensation plan</w:t>
      </w:r>
    </w:p>
    <w:p w14:paraId="77339F21" w14:textId="77777777" w:rsidR="00F71C6E" w:rsidRPr="000E620F" w:rsidRDefault="00F71C6E" w:rsidP="005C0E14">
      <w:pPr>
        <w:pStyle w:val="BodyText"/>
        <w:spacing w:before="5"/>
        <w:ind w:left="851"/>
        <w:rPr>
          <w:rFonts w:ascii="Arial" w:eastAsiaTheme="minorHAnsi" w:hAnsi="Arial" w:cs="Arial"/>
          <w:b/>
          <w:bCs/>
        </w:rPr>
      </w:pPr>
    </w:p>
    <w:p w14:paraId="126CB485" w14:textId="77777777" w:rsidR="00F71C6E" w:rsidRPr="000E620F" w:rsidRDefault="00F71C6E" w:rsidP="005C0E14">
      <w:pPr>
        <w:pStyle w:val="BodyText"/>
        <w:spacing w:before="5"/>
        <w:ind w:left="851"/>
        <w:rPr>
          <w:rFonts w:ascii="Arial" w:hAnsi="Arial" w:cs="Arial"/>
        </w:rPr>
      </w:pPr>
      <w:r w:rsidRPr="000E620F">
        <w:rPr>
          <w:rFonts w:ascii="Arial" w:eastAsiaTheme="minorHAnsi" w:hAnsi="Arial" w:cs="Arial"/>
          <w:b/>
          <w:bCs/>
        </w:rPr>
        <w:tab/>
      </w:r>
      <w:r w:rsidRPr="000E620F">
        <w:rPr>
          <w:rFonts w:ascii="Arial" w:hAnsi="Arial" w:cs="Arial"/>
        </w:rPr>
        <w:t>Share-based payments consists of the following amounts:</w:t>
      </w:r>
    </w:p>
    <w:p w14:paraId="6F560BC9" w14:textId="77777777" w:rsidR="00F71C6E" w:rsidRPr="000E620F" w:rsidRDefault="00F71C6E" w:rsidP="00F71C6E">
      <w:pPr>
        <w:pStyle w:val="BodyText"/>
        <w:ind w:left="800" w:right="777"/>
        <w:jc w:val="center"/>
        <w:rPr>
          <w:rFonts w:ascii="Arial" w:hAnsi="Arial" w:cs="Arial"/>
          <w:b/>
        </w:rPr>
      </w:pPr>
    </w:p>
    <w:tbl>
      <w:tblPr>
        <w:tblW w:w="8221" w:type="dxa"/>
        <w:tblInd w:w="851" w:type="dxa"/>
        <w:tblLook w:val="04A0" w:firstRow="1" w:lastRow="0" w:firstColumn="1" w:lastColumn="0" w:noHBand="0" w:noVBand="1"/>
      </w:tblPr>
      <w:tblGrid>
        <w:gridCol w:w="4875"/>
        <w:gridCol w:w="1863"/>
        <w:gridCol w:w="1483"/>
      </w:tblGrid>
      <w:tr w:rsidR="00F71C6E" w:rsidRPr="000E620F" w14:paraId="0991C088" w14:textId="77777777" w:rsidTr="005C0E14">
        <w:trPr>
          <w:trHeight w:val="253"/>
        </w:trPr>
        <w:tc>
          <w:tcPr>
            <w:tcW w:w="4875" w:type="dxa"/>
            <w:tcBorders>
              <w:top w:val="nil"/>
              <w:left w:val="nil"/>
              <w:bottom w:val="single" w:sz="4" w:space="0" w:color="auto"/>
              <w:right w:val="nil"/>
            </w:tcBorders>
            <w:shd w:val="clear" w:color="auto" w:fill="auto"/>
            <w:noWrap/>
          </w:tcPr>
          <w:p w14:paraId="530F0412" w14:textId="77777777" w:rsidR="00F71C6E" w:rsidRPr="000E620F" w:rsidRDefault="00F71C6E" w:rsidP="001404EC">
            <w:pPr>
              <w:rPr>
                <w:rFonts w:ascii="Arial" w:hAnsi="Arial" w:cs="Arial"/>
                <w:b/>
                <w:bCs/>
                <w:color w:val="000000"/>
                <w:sz w:val="16"/>
                <w:szCs w:val="16"/>
                <w:lang w:eastAsia="en-CA"/>
              </w:rPr>
            </w:pPr>
          </w:p>
        </w:tc>
        <w:tc>
          <w:tcPr>
            <w:tcW w:w="3346" w:type="dxa"/>
            <w:gridSpan w:val="2"/>
            <w:tcBorders>
              <w:top w:val="nil"/>
              <w:left w:val="nil"/>
              <w:bottom w:val="single" w:sz="4" w:space="0" w:color="auto"/>
              <w:right w:val="nil"/>
            </w:tcBorders>
            <w:shd w:val="clear" w:color="auto" w:fill="auto"/>
            <w:noWrap/>
          </w:tcPr>
          <w:p w14:paraId="021C0FAB" w14:textId="77777777" w:rsidR="00F71C6E" w:rsidRPr="000E620F" w:rsidRDefault="00F71C6E" w:rsidP="001404EC">
            <w:pPr>
              <w:jc w:val="center"/>
              <w:rPr>
                <w:rFonts w:ascii="Arial" w:hAnsi="Arial" w:cs="Arial"/>
                <w:color w:val="000000"/>
                <w:sz w:val="16"/>
                <w:szCs w:val="16"/>
                <w:lang w:eastAsia="en-CA"/>
              </w:rPr>
            </w:pPr>
            <w:r w:rsidRPr="000E620F">
              <w:rPr>
                <w:rFonts w:ascii="Arial" w:hAnsi="Arial" w:cs="Arial"/>
                <w:color w:val="000000"/>
                <w:sz w:val="16"/>
                <w:szCs w:val="16"/>
                <w:lang w:eastAsia="en-CA"/>
              </w:rPr>
              <w:t>For the year ended</w:t>
            </w:r>
          </w:p>
        </w:tc>
      </w:tr>
      <w:tr w:rsidR="00F71C6E" w:rsidRPr="000E620F" w14:paraId="55297DF6" w14:textId="77777777" w:rsidTr="005C0E14">
        <w:trPr>
          <w:trHeight w:val="253"/>
        </w:trPr>
        <w:tc>
          <w:tcPr>
            <w:tcW w:w="4875" w:type="dxa"/>
            <w:tcBorders>
              <w:top w:val="nil"/>
              <w:left w:val="nil"/>
              <w:bottom w:val="single" w:sz="4" w:space="0" w:color="auto"/>
              <w:right w:val="nil"/>
            </w:tcBorders>
            <w:shd w:val="clear" w:color="auto" w:fill="auto"/>
            <w:noWrap/>
            <w:hideMark/>
          </w:tcPr>
          <w:p w14:paraId="3793D7BC" w14:textId="77777777" w:rsidR="00F71C6E" w:rsidRPr="000E620F" w:rsidRDefault="00F71C6E" w:rsidP="001404EC">
            <w:pPr>
              <w:rPr>
                <w:rFonts w:ascii="Arial" w:hAnsi="Arial" w:cs="Arial"/>
                <w:b/>
                <w:bCs/>
                <w:color w:val="000000"/>
                <w:sz w:val="16"/>
                <w:szCs w:val="16"/>
                <w:lang w:eastAsia="en-CA"/>
              </w:rPr>
            </w:pPr>
            <w:r w:rsidRPr="000E620F">
              <w:rPr>
                <w:rFonts w:ascii="Arial" w:hAnsi="Arial" w:cs="Arial"/>
                <w:b/>
                <w:bCs/>
                <w:color w:val="000000"/>
                <w:sz w:val="16"/>
                <w:szCs w:val="16"/>
                <w:lang w:eastAsia="en-CA"/>
              </w:rPr>
              <w:t> Share Based Payments</w:t>
            </w:r>
          </w:p>
        </w:tc>
        <w:tc>
          <w:tcPr>
            <w:tcW w:w="1863" w:type="dxa"/>
            <w:tcBorders>
              <w:top w:val="nil"/>
              <w:left w:val="nil"/>
              <w:bottom w:val="single" w:sz="4" w:space="0" w:color="auto"/>
              <w:right w:val="nil"/>
            </w:tcBorders>
            <w:shd w:val="clear" w:color="auto" w:fill="auto"/>
            <w:noWrap/>
            <w:hideMark/>
          </w:tcPr>
          <w:p w14:paraId="3DC805DA" w14:textId="6A84FCD3" w:rsidR="00F71C6E" w:rsidRPr="000E620F" w:rsidRDefault="00F71C6E" w:rsidP="001404EC">
            <w:pPr>
              <w:jc w:val="right"/>
              <w:rPr>
                <w:rFonts w:ascii="Arial" w:hAnsi="Arial" w:cs="Arial"/>
                <w:b/>
                <w:bCs/>
                <w:color w:val="000000"/>
                <w:sz w:val="16"/>
                <w:szCs w:val="16"/>
                <w:lang w:eastAsia="en-CA"/>
              </w:rPr>
            </w:pPr>
            <w:r w:rsidRPr="000E620F">
              <w:rPr>
                <w:rFonts w:ascii="Arial" w:hAnsi="Arial" w:cs="Arial"/>
                <w:b/>
                <w:bCs/>
                <w:color w:val="000000"/>
                <w:sz w:val="16"/>
                <w:szCs w:val="16"/>
                <w:lang w:eastAsia="en-CA"/>
              </w:rPr>
              <w:t>202</w:t>
            </w:r>
            <w:r w:rsidR="007449AE">
              <w:rPr>
                <w:rFonts w:ascii="Arial" w:hAnsi="Arial" w:cs="Arial"/>
                <w:b/>
                <w:bCs/>
                <w:color w:val="000000"/>
                <w:sz w:val="16"/>
                <w:szCs w:val="16"/>
                <w:lang w:eastAsia="en-CA"/>
              </w:rPr>
              <w:t>3</w:t>
            </w:r>
          </w:p>
          <w:p w14:paraId="3D956073" w14:textId="77777777" w:rsidR="00F71C6E" w:rsidRPr="000E620F" w:rsidRDefault="00F71C6E" w:rsidP="001404EC">
            <w:pPr>
              <w:jc w:val="right"/>
              <w:rPr>
                <w:rFonts w:ascii="Arial" w:hAnsi="Arial" w:cs="Arial"/>
                <w:b/>
                <w:bCs/>
                <w:color w:val="000000"/>
                <w:sz w:val="16"/>
                <w:szCs w:val="16"/>
                <w:lang w:eastAsia="en-CA"/>
              </w:rPr>
            </w:pPr>
            <w:r w:rsidRPr="000E620F">
              <w:rPr>
                <w:rFonts w:ascii="Arial" w:hAnsi="Arial" w:cs="Arial"/>
                <w:b/>
                <w:bCs/>
                <w:color w:val="000000"/>
                <w:sz w:val="16"/>
                <w:szCs w:val="16"/>
                <w:lang w:eastAsia="en-CA"/>
              </w:rPr>
              <w:t>$</w:t>
            </w:r>
          </w:p>
        </w:tc>
        <w:tc>
          <w:tcPr>
            <w:tcW w:w="1483" w:type="dxa"/>
            <w:tcBorders>
              <w:top w:val="nil"/>
              <w:left w:val="nil"/>
              <w:bottom w:val="single" w:sz="4" w:space="0" w:color="auto"/>
              <w:right w:val="nil"/>
            </w:tcBorders>
            <w:shd w:val="clear" w:color="auto" w:fill="auto"/>
            <w:noWrap/>
            <w:hideMark/>
          </w:tcPr>
          <w:p w14:paraId="26A1F6F8" w14:textId="75D52EC1" w:rsidR="00F71C6E" w:rsidRPr="000E620F" w:rsidRDefault="00F71C6E" w:rsidP="001404EC">
            <w:pPr>
              <w:jc w:val="right"/>
              <w:rPr>
                <w:rFonts w:ascii="Arial" w:hAnsi="Arial" w:cs="Arial"/>
                <w:color w:val="000000"/>
                <w:sz w:val="16"/>
                <w:szCs w:val="16"/>
                <w:lang w:eastAsia="en-CA"/>
              </w:rPr>
            </w:pPr>
            <w:r w:rsidRPr="000E620F">
              <w:rPr>
                <w:rFonts w:ascii="Arial" w:hAnsi="Arial" w:cs="Arial"/>
                <w:color w:val="000000"/>
                <w:sz w:val="16"/>
                <w:szCs w:val="16"/>
                <w:lang w:eastAsia="en-CA"/>
              </w:rPr>
              <w:t>202</w:t>
            </w:r>
            <w:r w:rsidR="007449AE">
              <w:rPr>
                <w:rFonts w:ascii="Arial" w:hAnsi="Arial" w:cs="Arial"/>
                <w:color w:val="000000"/>
                <w:sz w:val="16"/>
                <w:szCs w:val="16"/>
                <w:lang w:eastAsia="en-CA"/>
              </w:rPr>
              <w:t>2</w:t>
            </w:r>
          </w:p>
          <w:p w14:paraId="2E8C3DBE" w14:textId="77777777" w:rsidR="00F71C6E" w:rsidRPr="000E620F" w:rsidRDefault="00F71C6E" w:rsidP="001404EC">
            <w:pPr>
              <w:jc w:val="right"/>
              <w:rPr>
                <w:rFonts w:ascii="Arial" w:hAnsi="Arial" w:cs="Arial"/>
                <w:color w:val="000000"/>
                <w:sz w:val="16"/>
                <w:szCs w:val="16"/>
                <w:lang w:eastAsia="en-CA"/>
              </w:rPr>
            </w:pPr>
            <w:r w:rsidRPr="000E620F">
              <w:rPr>
                <w:rFonts w:ascii="Arial" w:hAnsi="Arial" w:cs="Arial"/>
                <w:color w:val="000000"/>
                <w:sz w:val="16"/>
                <w:szCs w:val="16"/>
                <w:lang w:eastAsia="en-CA"/>
              </w:rPr>
              <w:t>$</w:t>
            </w:r>
          </w:p>
        </w:tc>
      </w:tr>
      <w:tr w:rsidR="00F71C6E" w:rsidRPr="000E620F" w14:paraId="33BFE775" w14:textId="77777777" w:rsidTr="005C0E14">
        <w:trPr>
          <w:trHeight w:val="236"/>
        </w:trPr>
        <w:tc>
          <w:tcPr>
            <w:tcW w:w="4875" w:type="dxa"/>
            <w:tcBorders>
              <w:top w:val="nil"/>
              <w:left w:val="nil"/>
              <w:right w:val="nil"/>
            </w:tcBorders>
            <w:shd w:val="clear" w:color="auto" w:fill="auto"/>
            <w:vAlign w:val="center"/>
            <w:hideMark/>
          </w:tcPr>
          <w:p w14:paraId="33D21B56" w14:textId="77777777" w:rsidR="00F71C6E" w:rsidRPr="000E620F" w:rsidRDefault="00F71C6E" w:rsidP="001404EC">
            <w:pPr>
              <w:rPr>
                <w:rFonts w:ascii="Arial" w:hAnsi="Arial" w:cs="Arial"/>
                <w:sz w:val="16"/>
                <w:szCs w:val="16"/>
                <w:lang w:eastAsia="en-CA"/>
              </w:rPr>
            </w:pPr>
            <w:r w:rsidRPr="000E620F">
              <w:rPr>
                <w:rFonts w:ascii="Arial" w:hAnsi="Arial" w:cs="Arial"/>
                <w:sz w:val="16"/>
                <w:szCs w:val="16"/>
                <w:lang w:eastAsia="en-CA"/>
              </w:rPr>
              <w:t>Share purchase Options</w:t>
            </w:r>
          </w:p>
        </w:tc>
        <w:tc>
          <w:tcPr>
            <w:tcW w:w="1863" w:type="dxa"/>
            <w:tcBorders>
              <w:top w:val="nil"/>
              <w:left w:val="nil"/>
              <w:right w:val="nil"/>
            </w:tcBorders>
            <w:shd w:val="clear" w:color="auto" w:fill="auto"/>
            <w:noWrap/>
            <w:vAlign w:val="center"/>
            <w:hideMark/>
          </w:tcPr>
          <w:p w14:paraId="1E6F8B56" w14:textId="42521F21" w:rsidR="00F71C6E" w:rsidRPr="000E620F" w:rsidRDefault="00F41EC9" w:rsidP="001404EC">
            <w:pPr>
              <w:jc w:val="right"/>
              <w:rPr>
                <w:rFonts w:ascii="Arial" w:hAnsi="Arial" w:cs="Arial"/>
                <w:b/>
                <w:bCs/>
                <w:color w:val="000000"/>
                <w:sz w:val="16"/>
                <w:szCs w:val="16"/>
                <w:lang w:eastAsia="en-CA"/>
              </w:rPr>
            </w:pPr>
            <w:r>
              <w:rPr>
                <w:rFonts w:ascii="Arial" w:hAnsi="Arial" w:cs="Arial"/>
                <w:b/>
                <w:bCs/>
                <w:color w:val="000000"/>
                <w:sz w:val="16"/>
                <w:szCs w:val="16"/>
                <w:lang w:eastAsia="en-CA"/>
              </w:rPr>
              <w:t>3</w:t>
            </w:r>
            <w:r w:rsidR="007449AE">
              <w:rPr>
                <w:rFonts w:ascii="Arial" w:hAnsi="Arial" w:cs="Arial"/>
                <w:b/>
                <w:bCs/>
                <w:color w:val="000000"/>
                <w:sz w:val="16"/>
                <w:szCs w:val="16"/>
                <w:lang w:eastAsia="en-CA"/>
              </w:rPr>
              <w:t>38,42</w:t>
            </w:r>
            <w:r w:rsidR="00FD6936">
              <w:rPr>
                <w:rFonts w:ascii="Arial" w:hAnsi="Arial" w:cs="Arial"/>
                <w:b/>
                <w:bCs/>
                <w:color w:val="000000"/>
                <w:sz w:val="16"/>
                <w:szCs w:val="16"/>
                <w:lang w:eastAsia="en-CA"/>
              </w:rPr>
              <w:t>8</w:t>
            </w:r>
          </w:p>
        </w:tc>
        <w:tc>
          <w:tcPr>
            <w:tcW w:w="1483" w:type="dxa"/>
            <w:tcBorders>
              <w:top w:val="nil"/>
              <w:left w:val="nil"/>
              <w:right w:val="nil"/>
            </w:tcBorders>
            <w:shd w:val="clear" w:color="auto" w:fill="auto"/>
            <w:noWrap/>
            <w:vAlign w:val="center"/>
            <w:hideMark/>
          </w:tcPr>
          <w:p w14:paraId="38411498" w14:textId="67569BEF" w:rsidR="00F71C6E" w:rsidRPr="000E620F" w:rsidRDefault="007449AE" w:rsidP="001404EC">
            <w:pPr>
              <w:jc w:val="right"/>
              <w:rPr>
                <w:rFonts w:ascii="Arial" w:hAnsi="Arial" w:cs="Arial"/>
                <w:color w:val="000000"/>
                <w:sz w:val="16"/>
                <w:szCs w:val="16"/>
                <w:lang w:eastAsia="en-CA"/>
              </w:rPr>
            </w:pPr>
            <w:r>
              <w:rPr>
                <w:rFonts w:ascii="Arial" w:hAnsi="Arial" w:cs="Arial"/>
                <w:color w:val="000000"/>
                <w:sz w:val="16"/>
                <w:szCs w:val="16"/>
                <w:lang w:eastAsia="en-CA"/>
              </w:rPr>
              <w:t>393,813</w:t>
            </w:r>
          </w:p>
        </w:tc>
      </w:tr>
      <w:tr w:rsidR="00F71C6E" w:rsidRPr="000E620F" w14:paraId="7AA244C0" w14:textId="77777777" w:rsidTr="005C0E14">
        <w:trPr>
          <w:trHeight w:val="236"/>
        </w:trPr>
        <w:tc>
          <w:tcPr>
            <w:tcW w:w="4875" w:type="dxa"/>
            <w:tcBorders>
              <w:top w:val="nil"/>
              <w:left w:val="nil"/>
              <w:bottom w:val="single" w:sz="4" w:space="0" w:color="auto"/>
              <w:right w:val="nil"/>
            </w:tcBorders>
            <w:shd w:val="clear" w:color="auto" w:fill="auto"/>
            <w:vAlign w:val="center"/>
          </w:tcPr>
          <w:p w14:paraId="641F3DFB" w14:textId="77777777" w:rsidR="00F71C6E" w:rsidRPr="000E620F" w:rsidRDefault="00F71C6E" w:rsidP="001404EC">
            <w:pPr>
              <w:rPr>
                <w:rFonts w:ascii="Arial" w:hAnsi="Arial" w:cs="Arial"/>
                <w:sz w:val="16"/>
                <w:szCs w:val="16"/>
                <w:lang w:eastAsia="en-CA"/>
              </w:rPr>
            </w:pPr>
            <w:r w:rsidRPr="000E620F">
              <w:rPr>
                <w:rFonts w:ascii="Arial" w:hAnsi="Arial" w:cs="Arial"/>
                <w:sz w:val="16"/>
                <w:szCs w:val="16"/>
                <w:lang w:eastAsia="en-CA"/>
              </w:rPr>
              <w:t xml:space="preserve">Restricted Share Units (RSU’s) </w:t>
            </w:r>
          </w:p>
        </w:tc>
        <w:tc>
          <w:tcPr>
            <w:tcW w:w="1863" w:type="dxa"/>
            <w:tcBorders>
              <w:top w:val="nil"/>
              <w:left w:val="nil"/>
              <w:bottom w:val="single" w:sz="4" w:space="0" w:color="auto"/>
              <w:right w:val="nil"/>
            </w:tcBorders>
            <w:shd w:val="clear" w:color="auto" w:fill="auto"/>
            <w:noWrap/>
            <w:vAlign w:val="center"/>
          </w:tcPr>
          <w:p w14:paraId="1D99B528" w14:textId="17EE7CEA" w:rsidR="00F71C6E" w:rsidRPr="000E620F" w:rsidRDefault="007449AE" w:rsidP="001404EC">
            <w:pPr>
              <w:jc w:val="right"/>
              <w:rPr>
                <w:rFonts w:ascii="Arial" w:hAnsi="Arial" w:cs="Arial"/>
                <w:b/>
                <w:bCs/>
                <w:color w:val="000000"/>
                <w:sz w:val="16"/>
                <w:szCs w:val="16"/>
                <w:lang w:eastAsia="en-CA"/>
              </w:rPr>
            </w:pPr>
            <w:r>
              <w:rPr>
                <w:rFonts w:ascii="Arial" w:hAnsi="Arial" w:cs="Arial"/>
                <w:b/>
                <w:bCs/>
                <w:color w:val="000000"/>
                <w:sz w:val="16"/>
                <w:szCs w:val="16"/>
                <w:lang w:eastAsia="en-CA"/>
              </w:rPr>
              <w:t>-</w:t>
            </w:r>
          </w:p>
        </w:tc>
        <w:tc>
          <w:tcPr>
            <w:tcW w:w="1483" w:type="dxa"/>
            <w:tcBorders>
              <w:top w:val="nil"/>
              <w:left w:val="nil"/>
              <w:bottom w:val="single" w:sz="4" w:space="0" w:color="auto"/>
              <w:right w:val="nil"/>
            </w:tcBorders>
            <w:shd w:val="clear" w:color="auto" w:fill="auto"/>
            <w:noWrap/>
            <w:vAlign w:val="center"/>
          </w:tcPr>
          <w:p w14:paraId="2CC77362" w14:textId="3870EC23" w:rsidR="00F71C6E" w:rsidRPr="000E620F" w:rsidRDefault="007449AE" w:rsidP="001404EC">
            <w:pPr>
              <w:jc w:val="right"/>
              <w:rPr>
                <w:rFonts w:ascii="Arial" w:hAnsi="Arial" w:cs="Arial"/>
                <w:color w:val="000000"/>
                <w:sz w:val="16"/>
                <w:szCs w:val="16"/>
                <w:lang w:eastAsia="en-CA"/>
              </w:rPr>
            </w:pPr>
            <w:r>
              <w:rPr>
                <w:rFonts w:ascii="Arial" w:hAnsi="Arial" w:cs="Arial"/>
                <w:color w:val="000000"/>
                <w:sz w:val="16"/>
                <w:szCs w:val="16"/>
                <w:lang w:eastAsia="en-CA"/>
              </w:rPr>
              <w:t>12,036</w:t>
            </w:r>
          </w:p>
        </w:tc>
      </w:tr>
      <w:tr w:rsidR="00F71C6E" w:rsidRPr="000867B9" w14:paraId="3E5F0852" w14:textId="77777777" w:rsidTr="005C0E14">
        <w:trPr>
          <w:trHeight w:val="269"/>
        </w:trPr>
        <w:tc>
          <w:tcPr>
            <w:tcW w:w="4875" w:type="dxa"/>
            <w:tcBorders>
              <w:top w:val="single" w:sz="4" w:space="0" w:color="auto"/>
              <w:left w:val="nil"/>
              <w:right w:val="nil"/>
            </w:tcBorders>
            <w:shd w:val="clear" w:color="auto" w:fill="auto"/>
            <w:vAlign w:val="center"/>
            <w:hideMark/>
          </w:tcPr>
          <w:p w14:paraId="3E3464E6" w14:textId="77777777" w:rsidR="00F71C6E" w:rsidRPr="000E620F" w:rsidRDefault="00F71C6E" w:rsidP="001404EC">
            <w:pPr>
              <w:rPr>
                <w:rFonts w:ascii="Arial" w:hAnsi="Arial" w:cs="Arial"/>
                <w:sz w:val="16"/>
                <w:szCs w:val="16"/>
                <w:lang w:eastAsia="en-CA"/>
              </w:rPr>
            </w:pPr>
            <w:r w:rsidRPr="000E620F">
              <w:rPr>
                <w:rFonts w:ascii="Arial" w:hAnsi="Arial" w:cs="Arial"/>
                <w:sz w:val="16"/>
                <w:szCs w:val="16"/>
                <w:lang w:eastAsia="en-CA"/>
              </w:rPr>
              <w:t>Total</w:t>
            </w:r>
          </w:p>
        </w:tc>
        <w:tc>
          <w:tcPr>
            <w:tcW w:w="1863" w:type="dxa"/>
            <w:tcBorders>
              <w:top w:val="single" w:sz="4" w:space="0" w:color="auto"/>
              <w:left w:val="nil"/>
              <w:right w:val="nil"/>
            </w:tcBorders>
            <w:shd w:val="clear" w:color="auto" w:fill="auto"/>
            <w:vAlign w:val="center"/>
            <w:hideMark/>
          </w:tcPr>
          <w:p w14:paraId="7B0F9BCD" w14:textId="63810503" w:rsidR="00F71C6E" w:rsidRPr="000E620F" w:rsidRDefault="007449AE" w:rsidP="001404EC">
            <w:pPr>
              <w:jc w:val="right"/>
              <w:rPr>
                <w:rFonts w:ascii="Arial" w:hAnsi="Arial" w:cs="Arial"/>
                <w:b/>
                <w:bCs/>
                <w:sz w:val="16"/>
                <w:szCs w:val="16"/>
                <w:lang w:eastAsia="en-CA"/>
              </w:rPr>
            </w:pPr>
            <w:r>
              <w:rPr>
                <w:rFonts w:ascii="Arial" w:hAnsi="Arial" w:cs="Arial"/>
                <w:b/>
                <w:bCs/>
                <w:sz w:val="16"/>
                <w:szCs w:val="16"/>
                <w:lang w:eastAsia="en-CA"/>
              </w:rPr>
              <w:t>338,42</w:t>
            </w:r>
            <w:r w:rsidR="00FD6936">
              <w:rPr>
                <w:rFonts w:ascii="Arial" w:hAnsi="Arial" w:cs="Arial"/>
                <w:b/>
                <w:bCs/>
                <w:sz w:val="16"/>
                <w:szCs w:val="16"/>
                <w:lang w:eastAsia="en-CA"/>
              </w:rPr>
              <w:t>8</w:t>
            </w:r>
          </w:p>
        </w:tc>
        <w:tc>
          <w:tcPr>
            <w:tcW w:w="1483" w:type="dxa"/>
            <w:tcBorders>
              <w:top w:val="single" w:sz="4" w:space="0" w:color="auto"/>
              <w:left w:val="nil"/>
              <w:right w:val="nil"/>
            </w:tcBorders>
            <w:shd w:val="clear" w:color="auto" w:fill="auto"/>
            <w:vAlign w:val="center"/>
            <w:hideMark/>
          </w:tcPr>
          <w:p w14:paraId="20D8F5EB" w14:textId="2FEEDA66" w:rsidR="00F71C6E" w:rsidRPr="006D7092" w:rsidRDefault="007449AE" w:rsidP="001404EC">
            <w:pPr>
              <w:jc w:val="right"/>
              <w:rPr>
                <w:rFonts w:ascii="Arial" w:hAnsi="Arial" w:cs="Arial"/>
                <w:sz w:val="16"/>
                <w:szCs w:val="16"/>
                <w:lang w:eastAsia="en-CA"/>
              </w:rPr>
            </w:pPr>
            <w:r>
              <w:rPr>
                <w:rFonts w:ascii="Arial" w:hAnsi="Arial" w:cs="Arial"/>
                <w:sz w:val="16"/>
                <w:szCs w:val="16"/>
                <w:lang w:eastAsia="en-CA"/>
              </w:rPr>
              <w:t>405,849</w:t>
            </w:r>
          </w:p>
        </w:tc>
      </w:tr>
    </w:tbl>
    <w:p w14:paraId="6F138611" w14:textId="77777777" w:rsidR="006D7092" w:rsidRDefault="006D7092" w:rsidP="005C0E14">
      <w:pPr>
        <w:pStyle w:val="BodyText"/>
        <w:ind w:left="851" w:right="777"/>
        <w:jc w:val="both"/>
        <w:rPr>
          <w:rFonts w:ascii="Arial" w:hAnsi="Arial" w:cs="Arial"/>
        </w:rPr>
      </w:pPr>
    </w:p>
    <w:p w14:paraId="4AFB3158" w14:textId="5D23EC32" w:rsidR="003F39FF" w:rsidRPr="00F56223" w:rsidRDefault="003F39FF" w:rsidP="005C0E14">
      <w:pPr>
        <w:pStyle w:val="BodyText"/>
        <w:ind w:left="851" w:right="777"/>
        <w:jc w:val="both"/>
        <w:rPr>
          <w:rFonts w:ascii="Arial" w:hAnsi="Arial" w:cs="Arial"/>
        </w:rPr>
      </w:pPr>
      <w:r w:rsidRPr="00F56223">
        <w:rPr>
          <w:rFonts w:ascii="Arial" w:hAnsi="Arial" w:cs="Arial"/>
        </w:rPr>
        <w:t>The Corporation has a share incentive plan (the "Plan"), which is restricted to directors, officers, key employees and consultants of the Corporation. The number of common shares subject to options granted under the Plan (and under all other management options and employee stock purchase plans</w:t>
      </w:r>
      <w:r w:rsidR="004A54D2" w:rsidRPr="00F56223">
        <w:rPr>
          <w:rFonts w:ascii="Arial" w:hAnsi="Arial" w:cs="Arial"/>
        </w:rPr>
        <w:t xml:space="preserve"> including RSU’s</w:t>
      </w:r>
      <w:r w:rsidRPr="00F56223">
        <w:rPr>
          <w:rFonts w:ascii="Arial" w:hAnsi="Arial" w:cs="Arial"/>
        </w:rPr>
        <w:t xml:space="preserve">) is limited to 10% in the aggregate and 5% with respect to any one optionee of the number of issued and outstanding common </w:t>
      </w:r>
      <w:r w:rsidR="00086A6C" w:rsidRPr="00F56223">
        <w:rPr>
          <w:rFonts w:ascii="Arial" w:hAnsi="Arial" w:cs="Arial"/>
        </w:rPr>
        <w:t>shares of</w:t>
      </w:r>
      <w:r w:rsidRPr="00F56223">
        <w:rPr>
          <w:rFonts w:ascii="Arial" w:hAnsi="Arial" w:cs="Arial"/>
        </w:rPr>
        <w:t xml:space="preserve"> the Corporation at the date of the grant of the option. Options issued under the Plan may be exercised during a period determined by the Board of Directors which cannot exceed ten years.</w:t>
      </w:r>
    </w:p>
    <w:p w14:paraId="08A8D177" w14:textId="403633F8" w:rsidR="001B14C4" w:rsidRDefault="001B14C4">
      <w:pPr>
        <w:widowControl w:val="0"/>
        <w:autoSpaceDE w:val="0"/>
        <w:autoSpaceDN w:val="0"/>
        <w:rPr>
          <w:rFonts w:ascii="Arial" w:hAnsi="Arial" w:cs="Arial"/>
          <w:b/>
          <w:bCs/>
          <w:sz w:val="16"/>
          <w:szCs w:val="16"/>
        </w:rPr>
      </w:pPr>
      <w:r>
        <w:rPr>
          <w:rFonts w:ascii="Arial" w:hAnsi="Arial" w:cs="Arial"/>
          <w:b/>
          <w:bCs/>
        </w:rPr>
        <w:br w:type="page"/>
      </w:r>
    </w:p>
    <w:p w14:paraId="7A749857" w14:textId="77777777" w:rsidR="0087052B" w:rsidRDefault="0087052B" w:rsidP="00291BE7">
      <w:pPr>
        <w:pStyle w:val="BodyText"/>
        <w:ind w:left="800" w:right="777"/>
        <w:jc w:val="both"/>
        <w:rPr>
          <w:rFonts w:ascii="Arial" w:hAnsi="Arial" w:cs="Arial"/>
          <w:b/>
          <w:bCs/>
        </w:rPr>
      </w:pPr>
    </w:p>
    <w:p w14:paraId="1E316C9B" w14:textId="77777777" w:rsidR="00464A7D" w:rsidRDefault="00464A7D" w:rsidP="00291BE7">
      <w:pPr>
        <w:pStyle w:val="BodyText"/>
        <w:ind w:left="800" w:right="777"/>
        <w:jc w:val="both"/>
        <w:rPr>
          <w:rFonts w:ascii="Arial" w:hAnsi="Arial" w:cs="Arial"/>
          <w:b/>
          <w:bCs/>
        </w:rPr>
      </w:pPr>
    </w:p>
    <w:p w14:paraId="2480F43E" w14:textId="4E90A99D" w:rsidR="00291BE7" w:rsidRPr="003F70A1" w:rsidRDefault="003F39FF" w:rsidP="00291BE7">
      <w:pPr>
        <w:pStyle w:val="BodyText"/>
        <w:ind w:left="800" w:right="777"/>
        <w:jc w:val="both"/>
        <w:rPr>
          <w:rFonts w:ascii="Arial" w:hAnsi="Arial" w:cs="Arial"/>
        </w:rPr>
      </w:pPr>
      <w:r w:rsidRPr="003F70A1">
        <w:rPr>
          <w:rFonts w:ascii="Arial" w:hAnsi="Arial" w:cs="Arial"/>
          <w:b/>
          <w:bCs/>
        </w:rPr>
        <w:t>The following table reflects the stoc</w:t>
      </w:r>
      <w:r w:rsidR="00637661" w:rsidRPr="003F70A1">
        <w:rPr>
          <w:rFonts w:ascii="Arial" w:hAnsi="Arial" w:cs="Arial"/>
          <w:b/>
          <w:bCs/>
        </w:rPr>
        <w:t xml:space="preserve">k options outstanding as at </w:t>
      </w:r>
      <w:r w:rsidR="00B80505" w:rsidRPr="003F70A1">
        <w:rPr>
          <w:rFonts w:ascii="Arial" w:hAnsi="Arial" w:cs="Arial"/>
          <w:b/>
          <w:bCs/>
        </w:rPr>
        <w:t>Dec</w:t>
      </w:r>
      <w:r w:rsidR="00637661" w:rsidRPr="003F70A1">
        <w:rPr>
          <w:rFonts w:ascii="Arial" w:hAnsi="Arial" w:cs="Arial"/>
          <w:b/>
          <w:bCs/>
        </w:rPr>
        <w:t>ember</w:t>
      </w:r>
      <w:r w:rsidRPr="003F70A1">
        <w:rPr>
          <w:rFonts w:ascii="Arial" w:hAnsi="Arial" w:cs="Arial"/>
          <w:b/>
          <w:bCs/>
        </w:rPr>
        <w:t xml:space="preserve"> 3</w:t>
      </w:r>
      <w:r w:rsidR="00B80505" w:rsidRPr="003F70A1">
        <w:rPr>
          <w:rFonts w:ascii="Arial" w:hAnsi="Arial" w:cs="Arial"/>
          <w:b/>
          <w:bCs/>
        </w:rPr>
        <w:t>1</w:t>
      </w:r>
      <w:r w:rsidRPr="003F70A1">
        <w:rPr>
          <w:rFonts w:ascii="Arial" w:hAnsi="Arial" w:cs="Arial"/>
          <w:b/>
          <w:bCs/>
        </w:rPr>
        <w:t>, 202</w:t>
      </w:r>
      <w:r w:rsidR="00D76689">
        <w:rPr>
          <w:rFonts w:ascii="Arial" w:hAnsi="Arial" w:cs="Arial"/>
          <w:b/>
          <w:bCs/>
        </w:rPr>
        <w:t>3</w:t>
      </w:r>
      <w:r w:rsidRPr="003F70A1">
        <w:rPr>
          <w:rFonts w:ascii="Arial" w:hAnsi="Arial" w:cs="Arial"/>
          <w:b/>
          <w:bCs/>
        </w:rPr>
        <w:t>:</w:t>
      </w:r>
    </w:p>
    <w:p w14:paraId="70356315" w14:textId="46BF8BBE" w:rsidR="00721785" w:rsidRPr="003F70A1" w:rsidRDefault="00721785" w:rsidP="00291BE7">
      <w:pPr>
        <w:pStyle w:val="BodyText"/>
        <w:ind w:right="777"/>
        <w:jc w:val="both"/>
        <w:rPr>
          <w:rFonts w:ascii="Arial" w:hAnsi="Arial" w:cs="Arial"/>
          <w:b/>
          <w:bCs/>
        </w:rPr>
      </w:pPr>
    </w:p>
    <w:tbl>
      <w:tblPr>
        <w:tblW w:w="8699" w:type="dxa"/>
        <w:tblInd w:w="799" w:type="dxa"/>
        <w:tblLayout w:type="fixed"/>
        <w:tblLook w:val="04A0" w:firstRow="1" w:lastRow="0" w:firstColumn="1" w:lastColumn="0" w:noHBand="0" w:noVBand="1"/>
      </w:tblPr>
      <w:tblGrid>
        <w:gridCol w:w="1832"/>
        <w:gridCol w:w="992"/>
        <w:gridCol w:w="1095"/>
        <w:gridCol w:w="952"/>
        <w:gridCol w:w="993"/>
        <w:gridCol w:w="1559"/>
        <w:gridCol w:w="1276"/>
      </w:tblGrid>
      <w:tr w:rsidR="00B22CED" w:rsidRPr="003F70A1" w14:paraId="10C3FFE8" w14:textId="77777777" w:rsidTr="002E65FB">
        <w:trPr>
          <w:trHeight w:val="871"/>
        </w:trPr>
        <w:tc>
          <w:tcPr>
            <w:tcW w:w="1832" w:type="dxa"/>
            <w:tcBorders>
              <w:top w:val="nil"/>
              <w:left w:val="nil"/>
              <w:bottom w:val="nil"/>
              <w:right w:val="nil"/>
            </w:tcBorders>
            <w:shd w:val="clear" w:color="auto" w:fill="auto"/>
            <w:hideMark/>
          </w:tcPr>
          <w:p w14:paraId="7840277A" w14:textId="77777777" w:rsidR="00B22CED" w:rsidRPr="003F70A1" w:rsidRDefault="00B22CED" w:rsidP="00B22CED">
            <w:pPr>
              <w:rPr>
                <w:rFonts w:ascii="Arial" w:hAnsi="Arial" w:cs="Arial"/>
                <w:sz w:val="16"/>
                <w:szCs w:val="16"/>
                <w:lang w:val="en-US"/>
              </w:rPr>
            </w:pPr>
            <w:r w:rsidRPr="003F70A1">
              <w:rPr>
                <w:rFonts w:ascii="Arial" w:hAnsi="Arial" w:cs="Arial"/>
                <w:b/>
                <w:bCs/>
                <w:sz w:val="16"/>
                <w:szCs w:val="16"/>
                <w:lang w:val="en-US"/>
              </w:rPr>
              <w:t>Expiry Date</w:t>
            </w:r>
          </w:p>
        </w:tc>
        <w:tc>
          <w:tcPr>
            <w:tcW w:w="992" w:type="dxa"/>
            <w:tcBorders>
              <w:top w:val="nil"/>
              <w:left w:val="nil"/>
              <w:bottom w:val="nil"/>
              <w:right w:val="nil"/>
            </w:tcBorders>
            <w:shd w:val="clear" w:color="auto" w:fill="auto"/>
            <w:hideMark/>
          </w:tcPr>
          <w:p w14:paraId="503779AB" w14:textId="77777777" w:rsidR="00B22CED" w:rsidRPr="003F70A1" w:rsidRDefault="00B22CED" w:rsidP="00B44C6D">
            <w:pPr>
              <w:jc w:val="center"/>
              <w:rPr>
                <w:rFonts w:ascii="Arial" w:hAnsi="Arial" w:cs="Arial"/>
                <w:b/>
                <w:bCs/>
                <w:sz w:val="16"/>
                <w:szCs w:val="16"/>
                <w:lang w:val="en-US"/>
              </w:rPr>
            </w:pPr>
            <w:r w:rsidRPr="003F70A1">
              <w:rPr>
                <w:rFonts w:ascii="Arial" w:hAnsi="Arial" w:cs="Arial"/>
                <w:b/>
                <w:bCs/>
                <w:sz w:val="16"/>
                <w:szCs w:val="16"/>
                <w:lang w:val="en-US"/>
              </w:rPr>
              <w:t>Exercise Price</w:t>
            </w:r>
          </w:p>
        </w:tc>
        <w:tc>
          <w:tcPr>
            <w:tcW w:w="1095" w:type="dxa"/>
            <w:tcBorders>
              <w:top w:val="nil"/>
              <w:left w:val="nil"/>
              <w:bottom w:val="nil"/>
              <w:right w:val="nil"/>
            </w:tcBorders>
            <w:shd w:val="clear" w:color="auto" w:fill="auto"/>
            <w:hideMark/>
          </w:tcPr>
          <w:p w14:paraId="7B4362D2" w14:textId="3C16B06A" w:rsidR="00B22CED" w:rsidRPr="003F70A1" w:rsidRDefault="00B22CED" w:rsidP="00B44C6D">
            <w:pPr>
              <w:jc w:val="center"/>
              <w:rPr>
                <w:rFonts w:ascii="Arial" w:hAnsi="Arial" w:cs="Arial"/>
                <w:b/>
                <w:bCs/>
                <w:sz w:val="16"/>
                <w:szCs w:val="16"/>
                <w:lang w:val="en-US"/>
              </w:rPr>
            </w:pPr>
            <w:r w:rsidRPr="003F70A1">
              <w:rPr>
                <w:rFonts w:ascii="Arial" w:hAnsi="Arial" w:cs="Arial"/>
                <w:b/>
                <w:bCs/>
                <w:sz w:val="16"/>
                <w:szCs w:val="16"/>
                <w:lang w:val="en-US"/>
              </w:rPr>
              <w:t>202</w:t>
            </w:r>
            <w:r w:rsidR="00D76689">
              <w:rPr>
                <w:rFonts w:ascii="Arial" w:hAnsi="Arial" w:cs="Arial"/>
                <w:b/>
                <w:bCs/>
                <w:sz w:val="16"/>
                <w:szCs w:val="16"/>
                <w:lang w:val="en-US"/>
              </w:rPr>
              <w:t>3</w:t>
            </w:r>
            <w:r w:rsidRPr="003F70A1">
              <w:rPr>
                <w:rFonts w:ascii="Arial" w:hAnsi="Arial" w:cs="Arial"/>
                <w:b/>
                <w:bCs/>
                <w:sz w:val="16"/>
                <w:szCs w:val="16"/>
                <w:lang w:val="en-US"/>
              </w:rPr>
              <w:br/>
              <w:t>Opening Balance</w:t>
            </w:r>
          </w:p>
        </w:tc>
        <w:tc>
          <w:tcPr>
            <w:tcW w:w="952" w:type="dxa"/>
            <w:tcBorders>
              <w:top w:val="nil"/>
              <w:left w:val="nil"/>
              <w:bottom w:val="nil"/>
              <w:right w:val="nil"/>
            </w:tcBorders>
            <w:shd w:val="clear" w:color="auto" w:fill="auto"/>
            <w:hideMark/>
          </w:tcPr>
          <w:p w14:paraId="6332F9FD" w14:textId="77777777" w:rsidR="00B22CED" w:rsidRPr="003F70A1" w:rsidRDefault="00B22CED" w:rsidP="00B44C6D">
            <w:pPr>
              <w:jc w:val="center"/>
              <w:rPr>
                <w:rFonts w:ascii="Arial" w:hAnsi="Arial" w:cs="Arial"/>
                <w:b/>
                <w:bCs/>
                <w:sz w:val="16"/>
                <w:szCs w:val="16"/>
                <w:lang w:val="en-US"/>
              </w:rPr>
            </w:pPr>
            <w:r w:rsidRPr="003F70A1">
              <w:rPr>
                <w:rFonts w:ascii="Arial" w:hAnsi="Arial" w:cs="Arial"/>
                <w:b/>
                <w:bCs/>
                <w:sz w:val="16"/>
                <w:szCs w:val="16"/>
                <w:lang w:val="en-US"/>
              </w:rPr>
              <w:t>Granted</w:t>
            </w:r>
          </w:p>
        </w:tc>
        <w:tc>
          <w:tcPr>
            <w:tcW w:w="993" w:type="dxa"/>
            <w:tcBorders>
              <w:top w:val="nil"/>
              <w:left w:val="nil"/>
              <w:bottom w:val="nil"/>
              <w:right w:val="nil"/>
            </w:tcBorders>
            <w:shd w:val="clear" w:color="auto" w:fill="auto"/>
            <w:hideMark/>
          </w:tcPr>
          <w:p w14:paraId="35AD47BC" w14:textId="77777777" w:rsidR="00B22CED" w:rsidRPr="003F70A1" w:rsidRDefault="00B22CED" w:rsidP="00B44C6D">
            <w:pPr>
              <w:jc w:val="center"/>
              <w:rPr>
                <w:rFonts w:ascii="Arial" w:hAnsi="Arial" w:cs="Arial"/>
                <w:b/>
                <w:bCs/>
                <w:sz w:val="16"/>
                <w:szCs w:val="16"/>
                <w:lang w:val="en-US"/>
              </w:rPr>
            </w:pPr>
            <w:r w:rsidRPr="003F70A1">
              <w:rPr>
                <w:rFonts w:ascii="Arial" w:hAnsi="Arial" w:cs="Arial"/>
                <w:b/>
                <w:bCs/>
                <w:sz w:val="16"/>
                <w:szCs w:val="16"/>
                <w:lang w:val="en-US"/>
              </w:rPr>
              <w:t>Exercised</w:t>
            </w:r>
          </w:p>
        </w:tc>
        <w:tc>
          <w:tcPr>
            <w:tcW w:w="1559" w:type="dxa"/>
            <w:tcBorders>
              <w:top w:val="nil"/>
              <w:left w:val="nil"/>
              <w:right w:val="nil"/>
            </w:tcBorders>
            <w:shd w:val="clear" w:color="auto" w:fill="auto"/>
            <w:hideMark/>
          </w:tcPr>
          <w:p w14:paraId="53A5D58E" w14:textId="77777777" w:rsidR="00B22CED" w:rsidRPr="003F70A1" w:rsidRDefault="00B22CED" w:rsidP="00B44C6D">
            <w:pPr>
              <w:ind w:firstLineChars="100" w:firstLine="163"/>
              <w:jc w:val="center"/>
              <w:rPr>
                <w:rFonts w:ascii="Arial" w:hAnsi="Arial" w:cs="Arial"/>
                <w:b/>
                <w:bCs/>
                <w:sz w:val="16"/>
                <w:szCs w:val="16"/>
                <w:lang w:val="en-US"/>
              </w:rPr>
            </w:pPr>
            <w:r w:rsidRPr="003F70A1">
              <w:rPr>
                <w:rFonts w:ascii="Arial" w:hAnsi="Arial" w:cs="Arial"/>
                <w:b/>
                <w:bCs/>
                <w:sz w:val="16"/>
                <w:szCs w:val="16"/>
                <w:lang w:val="en-US"/>
              </w:rPr>
              <w:t>Expired/ Cancelled</w:t>
            </w:r>
          </w:p>
        </w:tc>
        <w:tc>
          <w:tcPr>
            <w:tcW w:w="1276" w:type="dxa"/>
            <w:tcBorders>
              <w:top w:val="nil"/>
              <w:left w:val="nil"/>
              <w:right w:val="nil"/>
            </w:tcBorders>
            <w:shd w:val="clear" w:color="auto" w:fill="auto"/>
            <w:hideMark/>
          </w:tcPr>
          <w:p w14:paraId="1BFE95C2" w14:textId="7297ED84" w:rsidR="00B22CED" w:rsidRPr="003F70A1" w:rsidRDefault="00B22CED" w:rsidP="00B44C6D">
            <w:pPr>
              <w:jc w:val="center"/>
              <w:rPr>
                <w:rFonts w:ascii="Arial" w:hAnsi="Arial" w:cs="Arial"/>
                <w:b/>
                <w:bCs/>
                <w:sz w:val="16"/>
                <w:szCs w:val="16"/>
                <w:lang w:val="en-US"/>
              </w:rPr>
            </w:pPr>
            <w:r w:rsidRPr="003F70A1">
              <w:rPr>
                <w:rFonts w:ascii="Arial" w:hAnsi="Arial" w:cs="Arial"/>
                <w:b/>
                <w:bCs/>
                <w:sz w:val="16"/>
                <w:szCs w:val="16"/>
                <w:lang w:val="en-US"/>
              </w:rPr>
              <w:t>202</w:t>
            </w:r>
            <w:r w:rsidR="00D76689">
              <w:rPr>
                <w:rFonts w:ascii="Arial" w:hAnsi="Arial" w:cs="Arial"/>
                <w:b/>
                <w:bCs/>
                <w:sz w:val="16"/>
                <w:szCs w:val="16"/>
                <w:lang w:val="en-US"/>
              </w:rPr>
              <w:t>3</w:t>
            </w:r>
            <w:r w:rsidRPr="003F70A1">
              <w:rPr>
                <w:rFonts w:ascii="Arial" w:hAnsi="Arial" w:cs="Arial"/>
                <w:b/>
                <w:bCs/>
                <w:sz w:val="16"/>
                <w:szCs w:val="16"/>
                <w:lang w:val="en-US"/>
              </w:rPr>
              <w:br/>
              <w:t>Closing Balance</w:t>
            </w:r>
          </w:p>
        </w:tc>
      </w:tr>
      <w:tr w:rsidR="00B22CED" w:rsidRPr="003F70A1" w14:paraId="3A0E3872" w14:textId="77777777" w:rsidTr="002E65FB">
        <w:trPr>
          <w:trHeight w:val="245"/>
        </w:trPr>
        <w:tc>
          <w:tcPr>
            <w:tcW w:w="1832" w:type="dxa"/>
            <w:tcBorders>
              <w:top w:val="nil"/>
              <w:left w:val="nil"/>
              <w:bottom w:val="single" w:sz="4" w:space="0" w:color="000000"/>
              <w:right w:val="nil"/>
            </w:tcBorders>
            <w:shd w:val="clear" w:color="auto" w:fill="auto"/>
            <w:hideMark/>
          </w:tcPr>
          <w:p w14:paraId="4A3D253F" w14:textId="77777777" w:rsidR="00B22CED" w:rsidRPr="003F70A1" w:rsidRDefault="00B22CED" w:rsidP="00B22CED">
            <w:pPr>
              <w:rPr>
                <w:color w:val="000000"/>
                <w:sz w:val="20"/>
                <w:szCs w:val="20"/>
                <w:lang w:val="en-US"/>
              </w:rPr>
            </w:pPr>
            <w:r w:rsidRPr="003F70A1">
              <w:rPr>
                <w:color w:val="000000"/>
                <w:sz w:val="20"/>
                <w:szCs w:val="20"/>
                <w:lang w:val="en-US"/>
              </w:rPr>
              <w:t> </w:t>
            </w:r>
          </w:p>
        </w:tc>
        <w:tc>
          <w:tcPr>
            <w:tcW w:w="992" w:type="dxa"/>
            <w:tcBorders>
              <w:top w:val="nil"/>
              <w:left w:val="nil"/>
              <w:bottom w:val="single" w:sz="4" w:space="0" w:color="000000"/>
              <w:right w:val="nil"/>
            </w:tcBorders>
            <w:shd w:val="clear" w:color="auto" w:fill="auto"/>
            <w:hideMark/>
          </w:tcPr>
          <w:p w14:paraId="26CAC40B" w14:textId="77777777" w:rsidR="00B22CED" w:rsidRPr="003F70A1" w:rsidRDefault="00B22CED" w:rsidP="00B22CED">
            <w:pPr>
              <w:jc w:val="center"/>
              <w:rPr>
                <w:rFonts w:ascii="Arial" w:hAnsi="Arial" w:cs="Arial"/>
                <w:b/>
                <w:bCs/>
                <w:sz w:val="16"/>
                <w:szCs w:val="16"/>
                <w:lang w:val="en-US"/>
              </w:rPr>
            </w:pPr>
            <w:r w:rsidRPr="003F70A1">
              <w:rPr>
                <w:rFonts w:ascii="Arial" w:hAnsi="Arial" w:cs="Arial"/>
                <w:b/>
                <w:bCs/>
                <w:sz w:val="16"/>
                <w:szCs w:val="16"/>
                <w:lang w:val="en-US"/>
              </w:rPr>
              <w:t>$</w:t>
            </w:r>
          </w:p>
        </w:tc>
        <w:tc>
          <w:tcPr>
            <w:tcW w:w="1095" w:type="dxa"/>
            <w:tcBorders>
              <w:top w:val="nil"/>
              <w:left w:val="nil"/>
              <w:bottom w:val="single" w:sz="4" w:space="0" w:color="000000"/>
              <w:right w:val="nil"/>
            </w:tcBorders>
            <w:shd w:val="clear" w:color="auto" w:fill="auto"/>
            <w:hideMark/>
          </w:tcPr>
          <w:p w14:paraId="4BCFB1E3" w14:textId="77777777" w:rsidR="00B22CED" w:rsidRPr="003F70A1" w:rsidRDefault="00B22CED" w:rsidP="00B22CED">
            <w:pPr>
              <w:jc w:val="center"/>
              <w:rPr>
                <w:rFonts w:ascii="Arial" w:hAnsi="Arial" w:cs="Arial"/>
                <w:b/>
                <w:bCs/>
                <w:sz w:val="16"/>
                <w:szCs w:val="16"/>
                <w:lang w:val="en-US"/>
              </w:rPr>
            </w:pPr>
            <w:r w:rsidRPr="003F70A1">
              <w:rPr>
                <w:rFonts w:ascii="Arial" w:hAnsi="Arial" w:cs="Arial"/>
                <w:b/>
                <w:bCs/>
                <w:sz w:val="16"/>
                <w:szCs w:val="16"/>
                <w:lang w:val="en-US"/>
              </w:rPr>
              <w:t>#</w:t>
            </w:r>
          </w:p>
        </w:tc>
        <w:tc>
          <w:tcPr>
            <w:tcW w:w="952" w:type="dxa"/>
            <w:tcBorders>
              <w:top w:val="nil"/>
              <w:left w:val="nil"/>
              <w:bottom w:val="single" w:sz="4" w:space="0" w:color="000000"/>
              <w:right w:val="nil"/>
            </w:tcBorders>
            <w:shd w:val="clear" w:color="auto" w:fill="auto"/>
            <w:hideMark/>
          </w:tcPr>
          <w:p w14:paraId="79E82DC6" w14:textId="77777777" w:rsidR="00B22CED" w:rsidRPr="003F70A1" w:rsidRDefault="00B22CED" w:rsidP="00B22CED">
            <w:pPr>
              <w:jc w:val="center"/>
              <w:rPr>
                <w:rFonts w:ascii="Arial" w:hAnsi="Arial" w:cs="Arial"/>
                <w:b/>
                <w:bCs/>
                <w:sz w:val="16"/>
                <w:szCs w:val="16"/>
                <w:lang w:val="en-US"/>
              </w:rPr>
            </w:pPr>
            <w:r w:rsidRPr="003F70A1">
              <w:rPr>
                <w:rFonts w:ascii="Arial" w:hAnsi="Arial" w:cs="Arial"/>
                <w:b/>
                <w:bCs/>
                <w:sz w:val="16"/>
                <w:szCs w:val="16"/>
                <w:lang w:val="en-US"/>
              </w:rPr>
              <w:t>#</w:t>
            </w:r>
          </w:p>
        </w:tc>
        <w:tc>
          <w:tcPr>
            <w:tcW w:w="993" w:type="dxa"/>
            <w:tcBorders>
              <w:top w:val="nil"/>
              <w:left w:val="nil"/>
              <w:bottom w:val="single" w:sz="4" w:space="0" w:color="000000"/>
              <w:right w:val="nil"/>
            </w:tcBorders>
            <w:shd w:val="clear" w:color="auto" w:fill="auto"/>
            <w:hideMark/>
          </w:tcPr>
          <w:p w14:paraId="5B30FCBD" w14:textId="77777777" w:rsidR="00B22CED" w:rsidRPr="003F70A1" w:rsidRDefault="00B22CED" w:rsidP="00B22CED">
            <w:pPr>
              <w:jc w:val="center"/>
              <w:rPr>
                <w:rFonts w:ascii="Arial" w:hAnsi="Arial" w:cs="Arial"/>
                <w:b/>
                <w:bCs/>
                <w:sz w:val="16"/>
                <w:szCs w:val="16"/>
                <w:lang w:val="en-US"/>
              </w:rPr>
            </w:pPr>
            <w:r w:rsidRPr="003F70A1">
              <w:rPr>
                <w:rFonts w:ascii="Arial" w:hAnsi="Arial" w:cs="Arial"/>
                <w:b/>
                <w:bCs/>
                <w:sz w:val="16"/>
                <w:szCs w:val="16"/>
                <w:lang w:val="en-US"/>
              </w:rPr>
              <w:t>#</w:t>
            </w:r>
          </w:p>
        </w:tc>
        <w:tc>
          <w:tcPr>
            <w:tcW w:w="1559" w:type="dxa"/>
            <w:tcBorders>
              <w:top w:val="nil"/>
              <w:left w:val="nil"/>
              <w:bottom w:val="single" w:sz="4" w:space="0" w:color="auto"/>
              <w:right w:val="nil"/>
            </w:tcBorders>
            <w:shd w:val="clear" w:color="auto" w:fill="auto"/>
            <w:hideMark/>
          </w:tcPr>
          <w:p w14:paraId="015CC996" w14:textId="77777777" w:rsidR="00B22CED" w:rsidRPr="003F70A1" w:rsidRDefault="00B22CED" w:rsidP="00B22CED">
            <w:pPr>
              <w:ind w:firstLineChars="300" w:firstLine="489"/>
              <w:rPr>
                <w:rFonts w:ascii="Arial" w:hAnsi="Arial" w:cs="Arial"/>
                <w:b/>
                <w:bCs/>
                <w:sz w:val="16"/>
                <w:szCs w:val="16"/>
                <w:lang w:val="en-US"/>
              </w:rPr>
            </w:pPr>
            <w:r w:rsidRPr="003F70A1">
              <w:rPr>
                <w:rFonts w:ascii="Arial" w:hAnsi="Arial" w:cs="Arial"/>
                <w:b/>
                <w:bCs/>
                <w:sz w:val="16"/>
                <w:szCs w:val="16"/>
                <w:lang w:val="en-US"/>
              </w:rPr>
              <w:t>#</w:t>
            </w:r>
          </w:p>
        </w:tc>
        <w:tc>
          <w:tcPr>
            <w:tcW w:w="1276" w:type="dxa"/>
            <w:tcBorders>
              <w:top w:val="nil"/>
              <w:left w:val="nil"/>
              <w:bottom w:val="single" w:sz="4" w:space="0" w:color="auto"/>
              <w:right w:val="nil"/>
            </w:tcBorders>
            <w:shd w:val="clear" w:color="auto" w:fill="auto"/>
            <w:hideMark/>
          </w:tcPr>
          <w:p w14:paraId="5FAE3AAF" w14:textId="77777777" w:rsidR="00B22CED" w:rsidRPr="003F70A1" w:rsidRDefault="00B22CED" w:rsidP="00B22CED">
            <w:pPr>
              <w:ind w:firstLineChars="200" w:firstLine="326"/>
              <w:rPr>
                <w:rFonts w:ascii="Arial" w:hAnsi="Arial" w:cs="Arial"/>
                <w:b/>
                <w:bCs/>
                <w:sz w:val="16"/>
                <w:szCs w:val="16"/>
                <w:lang w:val="en-US"/>
              </w:rPr>
            </w:pPr>
            <w:r w:rsidRPr="003F70A1">
              <w:rPr>
                <w:rFonts w:ascii="Arial" w:hAnsi="Arial" w:cs="Arial"/>
                <w:b/>
                <w:bCs/>
                <w:sz w:val="16"/>
                <w:szCs w:val="16"/>
                <w:lang w:val="en-US"/>
              </w:rPr>
              <w:t>#</w:t>
            </w:r>
          </w:p>
        </w:tc>
      </w:tr>
      <w:tr w:rsidR="004067BE" w:rsidRPr="003F70A1" w14:paraId="2F6158F0" w14:textId="77777777" w:rsidTr="00F233BE">
        <w:trPr>
          <w:trHeight w:hRule="exact" w:val="170"/>
        </w:trPr>
        <w:tc>
          <w:tcPr>
            <w:tcW w:w="1832" w:type="dxa"/>
            <w:tcBorders>
              <w:top w:val="nil"/>
              <w:left w:val="nil"/>
              <w:bottom w:val="nil"/>
              <w:right w:val="nil"/>
            </w:tcBorders>
            <w:shd w:val="clear" w:color="auto" w:fill="auto"/>
            <w:hideMark/>
          </w:tcPr>
          <w:p w14:paraId="31475EDD" w14:textId="342B9B88" w:rsidR="004067BE" w:rsidRPr="00A10E12" w:rsidRDefault="004067BE" w:rsidP="004067BE">
            <w:pPr>
              <w:rPr>
                <w:rFonts w:ascii="Arial" w:hAnsi="Arial" w:cs="Arial"/>
                <w:sz w:val="16"/>
                <w:szCs w:val="16"/>
                <w:lang w:val="en-US"/>
              </w:rPr>
            </w:pPr>
            <w:r w:rsidRPr="00A10E12">
              <w:rPr>
                <w:rFonts w:ascii="Arial" w:hAnsi="Arial" w:cs="Arial"/>
                <w:sz w:val="16"/>
                <w:szCs w:val="16"/>
              </w:rPr>
              <w:t>July 10, 2023</w:t>
            </w:r>
          </w:p>
        </w:tc>
        <w:tc>
          <w:tcPr>
            <w:tcW w:w="992" w:type="dxa"/>
            <w:tcBorders>
              <w:top w:val="nil"/>
              <w:left w:val="nil"/>
              <w:bottom w:val="nil"/>
              <w:right w:val="nil"/>
            </w:tcBorders>
            <w:shd w:val="clear" w:color="auto" w:fill="auto"/>
            <w:noWrap/>
            <w:hideMark/>
          </w:tcPr>
          <w:p w14:paraId="1A0F0E64" w14:textId="7465FDF0" w:rsidR="004067BE" w:rsidRPr="00A10E12" w:rsidRDefault="004067BE" w:rsidP="004067BE">
            <w:pPr>
              <w:ind w:firstLineChars="100" w:firstLine="160"/>
              <w:jc w:val="right"/>
              <w:rPr>
                <w:rFonts w:ascii="Arial" w:hAnsi="Arial" w:cs="Arial"/>
                <w:color w:val="000000"/>
                <w:sz w:val="16"/>
                <w:szCs w:val="16"/>
                <w:lang w:val="en-US"/>
              </w:rPr>
            </w:pPr>
            <w:r w:rsidRPr="00A10E12">
              <w:rPr>
                <w:rFonts w:ascii="Arial" w:hAnsi="Arial" w:cs="Arial"/>
                <w:color w:val="000000"/>
                <w:sz w:val="16"/>
                <w:szCs w:val="16"/>
              </w:rPr>
              <w:t>0.30</w:t>
            </w:r>
          </w:p>
        </w:tc>
        <w:tc>
          <w:tcPr>
            <w:tcW w:w="1095" w:type="dxa"/>
            <w:tcBorders>
              <w:top w:val="nil"/>
              <w:left w:val="nil"/>
              <w:bottom w:val="nil"/>
              <w:right w:val="nil"/>
            </w:tcBorders>
            <w:shd w:val="clear" w:color="auto" w:fill="auto"/>
            <w:noWrap/>
            <w:vAlign w:val="center"/>
            <w:hideMark/>
          </w:tcPr>
          <w:p w14:paraId="4EA7DE74" w14:textId="1643BCD7" w:rsidR="004067BE" w:rsidRPr="00A10E12" w:rsidRDefault="004067BE" w:rsidP="004067BE">
            <w:pPr>
              <w:jc w:val="right"/>
              <w:rPr>
                <w:rFonts w:ascii="Arial" w:hAnsi="Arial" w:cs="Arial"/>
                <w:color w:val="000000"/>
                <w:sz w:val="16"/>
                <w:szCs w:val="16"/>
                <w:lang w:val="en-US"/>
              </w:rPr>
            </w:pPr>
            <w:r w:rsidRPr="00A10E12">
              <w:rPr>
                <w:rFonts w:ascii="Arial" w:hAnsi="Arial" w:cs="Arial"/>
                <w:color w:val="000000"/>
                <w:sz w:val="16"/>
                <w:szCs w:val="16"/>
              </w:rPr>
              <w:t>2,3</w:t>
            </w:r>
            <w:r w:rsidR="00D76689" w:rsidRPr="00A10E12">
              <w:rPr>
                <w:rFonts w:ascii="Arial" w:hAnsi="Arial" w:cs="Arial"/>
                <w:color w:val="000000"/>
                <w:sz w:val="16"/>
                <w:szCs w:val="16"/>
              </w:rPr>
              <w:t>2</w:t>
            </w:r>
            <w:r w:rsidRPr="00A10E12">
              <w:rPr>
                <w:rFonts w:ascii="Arial" w:hAnsi="Arial" w:cs="Arial"/>
                <w:color w:val="000000"/>
                <w:sz w:val="16"/>
                <w:szCs w:val="16"/>
              </w:rPr>
              <w:t xml:space="preserve">0,000 </w:t>
            </w:r>
          </w:p>
        </w:tc>
        <w:tc>
          <w:tcPr>
            <w:tcW w:w="952" w:type="dxa"/>
            <w:tcBorders>
              <w:top w:val="nil"/>
              <w:left w:val="nil"/>
              <w:bottom w:val="nil"/>
              <w:right w:val="nil"/>
            </w:tcBorders>
            <w:shd w:val="clear" w:color="auto" w:fill="auto"/>
            <w:hideMark/>
          </w:tcPr>
          <w:p w14:paraId="190DF6F6" w14:textId="6C529D05" w:rsidR="004067BE" w:rsidRPr="00A10E12" w:rsidRDefault="004067BE" w:rsidP="004067BE">
            <w:pPr>
              <w:jc w:val="right"/>
              <w:rPr>
                <w:rFonts w:ascii="Arial" w:hAnsi="Arial" w:cs="Arial"/>
                <w:sz w:val="16"/>
                <w:szCs w:val="16"/>
                <w:lang w:val="en-US"/>
              </w:rPr>
            </w:pPr>
            <w:r w:rsidRPr="00A10E12">
              <w:rPr>
                <w:rFonts w:ascii="Arial" w:hAnsi="Arial" w:cs="Arial"/>
                <w:sz w:val="16"/>
                <w:szCs w:val="16"/>
                <w:lang w:val="en-US"/>
              </w:rPr>
              <w:t>-</w:t>
            </w:r>
          </w:p>
        </w:tc>
        <w:tc>
          <w:tcPr>
            <w:tcW w:w="993" w:type="dxa"/>
            <w:tcBorders>
              <w:top w:val="nil"/>
              <w:left w:val="nil"/>
              <w:bottom w:val="nil"/>
              <w:right w:val="nil"/>
            </w:tcBorders>
            <w:shd w:val="clear" w:color="auto" w:fill="auto"/>
            <w:hideMark/>
          </w:tcPr>
          <w:p w14:paraId="47C807A5" w14:textId="509C3FD0" w:rsidR="004067BE" w:rsidRPr="00A10E12" w:rsidRDefault="004067BE" w:rsidP="004067BE">
            <w:pPr>
              <w:jc w:val="right"/>
              <w:rPr>
                <w:rFonts w:ascii="Arial" w:hAnsi="Arial" w:cs="Arial"/>
                <w:sz w:val="16"/>
                <w:szCs w:val="16"/>
                <w:lang w:val="en-US"/>
              </w:rPr>
            </w:pPr>
            <w:r w:rsidRPr="00A10E12">
              <w:rPr>
                <w:rFonts w:ascii="Arial" w:hAnsi="Arial" w:cs="Arial"/>
                <w:sz w:val="16"/>
                <w:szCs w:val="16"/>
                <w:lang w:val="en-US"/>
              </w:rPr>
              <w:t>-</w:t>
            </w:r>
          </w:p>
        </w:tc>
        <w:tc>
          <w:tcPr>
            <w:tcW w:w="1559" w:type="dxa"/>
            <w:tcBorders>
              <w:top w:val="nil"/>
              <w:left w:val="nil"/>
              <w:bottom w:val="nil"/>
              <w:right w:val="nil"/>
            </w:tcBorders>
            <w:shd w:val="clear" w:color="auto" w:fill="auto"/>
            <w:hideMark/>
          </w:tcPr>
          <w:p w14:paraId="5FDA1B55" w14:textId="18ECAE14" w:rsidR="004067BE" w:rsidRPr="00A10E12" w:rsidRDefault="00D76689" w:rsidP="004067BE">
            <w:pPr>
              <w:ind w:firstLineChars="100" w:firstLine="160"/>
              <w:jc w:val="right"/>
              <w:rPr>
                <w:rFonts w:ascii="Arial" w:hAnsi="Arial" w:cs="Arial"/>
                <w:sz w:val="16"/>
                <w:szCs w:val="16"/>
                <w:lang w:val="en-US"/>
              </w:rPr>
            </w:pPr>
            <w:r w:rsidRPr="00A10E12">
              <w:rPr>
                <w:rFonts w:ascii="Arial" w:hAnsi="Arial" w:cs="Arial"/>
                <w:sz w:val="16"/>
                <w:szCs w:val="16"/>
                <w:lang w:val="en-US"/>
              </w:rPr>
              <w:t>(2,320,000)</w:t>
            </w:r>
          </w:p>
        </w:tc>
        <w:tc>
          <w:tcPr>
            <w:tcW w:w="1276" w:type="dxa"/>
            <w:tcBorders>
              <w:top w:val="nil"/>
              <w:left w:val="nil"/>
              <w:bottom w:val="nil"/>
              <w:right w:val="nil"/>
            </w:tcBorders>
            <w:shd w:val="clear" w:color="auto" w:fill="auto"/>
            <w:noWrap/>
            <w:hideMark/>
          </w:tcPr>
          <w:p w14:paraId="4D577647" w14:textId="28CD36FD" w:rsidR="004067BE" w:rsidRPr="00A10E12" w:rsidRDefault="00D76689" w:rsidP="004067BE">
            <w:pPr>
              <w:jc w:val="right"/>
              <w:rPr>
                <w:rFonts w:ascii="Arial" w:hAnsi="Arial" w:cs="Arial"/>
                <w:b/>
                <w:bCs/>
                <w:color w:val="000000"/>
                <w:sz w:val="16"/>
                <w:szCs w:val="16"/>
                <w:lang w:val="en-US"/>
              </w:rPr>
            </w:pPr>
            <w:r w:rsidRPr="00A10E12">
              <w:rPr>
                <w:rFonts w:ascii="Arial" w:hAnsi="Arial" w:cs="Arial"/>
                <w:b/>
                <w:sz w:val="16"/>
                <w:szCs w:val="16"/>
              </w:rPr>
              <w:t>-</w:t>
            </w:r>
          </w:p>
        </w:tc>
      </w:tr>
      <w:tr w:rsidR="004067BE" w:rsidRPr="003F70A1" w14:paraId="70DEC0DF" w14:textId="77777777" w:rsidTr="00F233BE">
        <w:trPr>
          <w:trHeight w:hRule="exact" w:val="170"/>
        </w:trPr>
        <w:tc>
          <w:tcPr>
            <w:tcW w:w="1832" w:type="dxa"/>
            <w:tcBorders>
              <w:top w:val="nil"/>
              <w:left w:val="nil"/>
              <w:bottom w:val="nil"/>
              <w:right w:val="nil"/>
            </w:tcBorders>
            <w:shd w:val="clear" w:color="auto" w:fill="auto"/>
            <w:hideMark/>
          </w:tcPr>
          <w:p w14:paraId="449DAC2E" w14:textId="46291CB2" w:rsidR="004067BE" w:rsidRPr="00A10E12" w:rsidRDefault="004067BE" w:rsidP="004067BE">
            <w:pPr>
              <w:rPr>
                <w:rFonts w:ascii="Arial" w:hAnsi="Arial" w:cs="Arial"/>
                <w:sz w:val="16"/>
                <w:szCs w:val="16"/>
                <w:lang w:val="en-US"/>
              </w:rPr>
            </w:pPr>
            <w:r w:rsidRPr="00A10E12">
              <w:rPr>
                <w:rFonts w:ascii="Arial" w:hAnsi="Arial" w:cs="Arial"/>
                <w:sz w:val="16"/>
                <w:szCs w:val="16"/>
              </w:rPr>
              <w:t>April 29, 2024</w:t>
            </w:r>
          </w:p>
        </w:tc>
        <w:tc>
          <w:tcPr>
            <w:tcW w:w="992" w:type="dxa"/>
            <w:tcBorders>
              <w:top w:val="nil"/>
              <w:left w:val="nil"/>
              <w:bottom w:val="nil"/>
              <w:right w:val="nil"/>
            </w:tcBorders>
            <w:shd w:val="clear" w:color="auto" w:fill="auto"/>
            <w:noWrap/>
            <w:hideMark/>
          </w:tcPr>
          <w:p w14:paraId="6FE33501" w14:textId="329497B3" w:rsidR="004067BE" w:rsidRPr="00A10E12" w:rsidRDefault="004067BE" w:rsidP="004067BE">
            <w:pPr>
              <w:ind w:firstLineChars="100" w:firstLine="160"/>
              <w:jc w:val="right"/>
              <w:rPr>
                <w:rFonts w:ascii="Arial" w:hAnsi="Arial" w:cs="Arial"/>
                <w:color w:val="000000"/>
                <w:sz w:val="16"/>
                <w:szCs w:val="16"/>
                <w:lang w:val="en-US"/>
              </w:rPr>
            </w:pPr>
            <w:r w:rsidRPr="00A10E12">
              <w:rPr>
                <w:rFonts w:ascii="Arial" w:hAnsi="Arial" w:cs="Arial"/>
                <w:color w:val="000000"/>
                <w:sz w:val="16"/>
                <w:szCs w:val="16"/>
              </w:rPr>
              <w:t>0.30</w:t>
            </w:r>
          </w:p>
        </w:tc>
        <w:tc>
          <w:tcPr>
            <w:tcW w:w="1095" w:type="dxa"/>
            <w:tcBorders>
              <w:top w:val="nil"/>
              <w:left w:val="nil"/>
              <w:bottom w:val="nil"/>
              <w:right w:val="nil"/>
            </w:tcBorders>
            <w:shd w:val="clear" w:color="auto" w:fill="auto"/>
            <w:noWrap/>
            <w:vAlign w:val="center"/>
            <w:hideMark/>
          </w:tcPr>
          <w:p w14:paraId="7A754E76" w14:textId="0F3FE391" w:rsidR="004067BE" w:rsidRPr="00A10E12" w:rsidRDefault="00D76689" w:rsidP="004067BE">
            <w:pPr>
              <w:jc w:val="right"/>
              <w:rPr>
                <w:rFonts w:ascii="Arial" w:hAnsi="Arial" w:cs="Arial"/>
                <w:color w:val="000000"/>
                <w:sz w:val="16"/>
                <w:szCs w:val="16"/>
                <w:lang w:val="en-US"/>
              </w:rPr>
            </w:pPr>
            <w:r w:rsidRPr="00A10E12">
              <w:rPr>
                <w:rFonts w:ascii="Arial" w:hAnsi="Arial" w:cs="Arial"/>
                <w:color w:val="000000"/>
                <w:sz w:val="16"/>
                <w:szCs w:val="16"/>
              </w:rPr>
              <w:t>60</w:t>
            </w:r>
            <w:r w:rsidR="004067BE" w:rsidRPr="00A10E12">
              <w:rPr>
                <w:rFonts w:ascii="Arial" w:hAnsi="Arial" w:cs="Arial"/>
                <w:color w:val="000000"/>
                <w:sz w:val="16"/>
                <w:szCs w:val="16"/>
              </w:rPr>
              <w:t xml:space="preserve">0,000 </w:t>
            </w:r>
          </w:p>
        </w:tc>
        <w:tc>
          <w:tcPr>
            <w:tcW w:w="952" w:type="dxa"/>
            <w:tcBorders>
              <w:top w:val="nil"/>
              <w:left w:val="nil"/>
              <w:bottom w:val="nil"/>
              <w:right w:val="nil"/>
            </w:tcBorders>
            <w:shd w:val="clear" w:color="auto" w:fill="auto"/>
            <w:hideMark/>
          </w:tcPr>
          <w:p w14:paraId="015002AD" w14:textId="385EACEC" w:rsidR="004067BE" w:rsidRPr="00A10E12" w:rsidRDefault="004067BE" w:rsidP="004067BE">
            <w:pPr>
              <w:jc w:val="right"/>
              <w:rPr>
                <w:rFonts w:ascii="Arial" w:hAnsi="Arial" w:cs="Arial"/>
                <w:sz w:val="16"/>
                <w:szCs w:val="16"/>
                <w:lang w:val="en-US"/>
              </w:rPr>
            </w:pPr>
            <w:r w:rsidRPr="00A10E12">
              <w:rPr>
                <w:rFonts w:ascii="Arial" w:hAnsi="Arial" w:cs="Arial"/>
                <w:sz w:val="16"/>
                <w:szCs w:val="16"/>
                <w:lang w:val="en-US"/>
              </w:rPr>
              <w:t>-</w:t>
            </w:r>
          </w:p>
        </w:tc>
        <w:tc>
          <w:tcPr>
            <w:tcW w:w="993" w:type="dxa"/>
            <w:tcBorders>
              <w:top w:val="nil"/>
              <w:left w:val="nil"/>
              <w:bottom w:val="nil"/>
              <w:right w:val="nil"/>
            </w:tcBorders>
            <w:shd w:val="clear" w:color="auto" w:fill="auto"/>
            <w:hideMark/>
          </w:tcPr>
          <w:p w14:paraId="7583596C" w14:textId="1548E7A8" w:rsidR="004067BE" w:rsidRPr="00A10E12" w:rsidRDefault="004067BE" w:rsidP="004067BE">
            <w:pPr>
              <w:jc w:val="right"/>
              <w:rPr>
                <w:rFonts w:ascii="Arial" w:hAnsi="Arial" w:cs="Arial"/>
                <w:sz w:val="16"/>
                <w:szCs w:val="16"/>
                <w:lang w:val="en-US"/>
              </w:rPr>
            </w:pPr>
            <w:r w:rsidRPr="00A10E12">
              <w:rPr>
                <w:rFonts w:ascii="Arial" w:hAnsi="Arial" w:cs="Arial"/>
                <w:sz w:val="16"/>
                <w:szCs w:val="16"/>
                <w:lang w:val="en-US"/>
              </w:rPr>
              <w:t>-</w:t>
            </w:r>
          </w:p>
        </w:tc>
        <w:tc>
          <w:tcPr>
            <w:tcW w:w="1559" w:type="dxa"/>
            <w:tcBorders>
              <w:top w:val="nil"/>
              <w:left w:val="nil"/>
              <w:bottom w:val="nil"/>
              <w:right w:val="nil"/>
            </w:tcBorders>
            <w:shd w:val="clear" w:color="auto" w:fill="auto"/>
            <w:hideMark/>
          </w:tcPr>
          <w:p w14:paraId="4B0A7560" w14:textId="2EE8D41E" w:rsidR="004067BE" w:rsidRPr="00A10E12" w:rsidRDefault="004067BE" w:rsidP="004067BE">
            <w:pPr>
              <w:ind w:firstLineChars="100" w:firstLine="160"/>
              <w:jc w:val="right"/>
              <w:rPr>
                <w:rFonts w:ascii="Arial" w:hAnsi="Arial" w:cs="Arial"/>
                <w:sz w:val="16"/>
                <w:szCs w:val="16"/>
                <w:lang w:val="en-US"/>
              </w:rPr>
            </w:pPr>
            <w:r w:rsidRPr="00A10E12">
              <w:rPr>
                <w:rFonts w:ascii="Arial" w:hAnsi="Arial" w:cs="Arial"/>
                <w:sz w:val="16"/>
                <w:szCs w:val="16"/>
                <w:lang w:val="en-US"/>
              </w:rPr>
              <w:t>-</w:t>
            </w:r>
          </w:p>
        </w:tc>
        <w:tc>
          <w:tcPr>
            <w:tcW w:w="1276" w:type="dxa"/>
            <w:tcBorders>
              <w:top w:val="nil"/>
              <w:left w:val="nil"/>
              <w:bottom w:val="nil"/>
              <w:right w:val="nil"/>
            </w:tcBorders>
            <w:shd w:val="clear" w:color="auto" w:fill="auto"/>
            <w:noWrap/>
            <w:hideMark/>
          </w:tcPr>
          <w:p w14:paraId="6B45D3E4" w14:textId="3FF2307F" w:rsidR="004067BE" w:rsidRPr="00A10E12" w:rsidRDefault="00D76689" w:rsidP="004067BE">
            <w:pPr>
              <w:jc w:val="right"/>
              <w:rPr>
                <w:rFonts w:ascii="Arial" w:hAnsi="Arial" w:cs="Arial"/>
                <w:b/>
                <w:bCs/>
                <w:color w:val="000000"/>
                <w:sz w:val="16"/>
                <w:szCs w:val="16"/>
                <w:lang w:val="en-US"/>
              </w:rPr>
            </w:pPr>
            <w:r w:rsidRPr="00A10E12">
              <w:rPr>
                <w:rFonts w:ascii="Arial" w:hAnsi="Arial" w:cs="Arial"/>
                <w:b/>
                <w:sz w:val="16"/>
                <w:szCs w:val="16"/>
              </w:rPr>
              <w:t>60</w:t>
            </w:r>
            <w:r w:rsidR="004067BE" w:rsidRPr="00A10E12">
              <w:rPr>
                <w:rFonts w:ascii="Arial" w:hAnsi="Arial" w:cs="Arial"/>
                <w:b/>
                <w:sz w:val="16"/>
                <w:szCs w:val="16"/>
              </w:rPr>
              <w:t>0,000</w:t>
            </w:r>
          </w:p>
        </w:tc>
      </w:tr>
      <w:tr w:rsidR="004067BE" w:rsidRPr="003F70A1" w14:paraId="33ED6D44" w14:textId="77777777" w:rsidTr="00F233BE">
        <w:trPr>
          <w:trHeight w:hRule="exact" w:val="170"/>
        </w:trPr>
        <w:tc>
          <w:tcPr>
            <w:tcW w:w="1832" w:type="dxa"/>
            <w:tcBorders>
              <w:top w:val="nil"/>
              <w:left w:val="nil"/>
              <w:bottom w:val="nil"/>
              <w:right w:val="nil"/>
            </w:tcBorders>
            <w:shd w:val="clear" w:color="auto" w:fill="auto"/>
            <w:hideMark/>
          </w:tcPr>
          <w:p w14:paraId="5423323B" w14:textId="323EAD09" w:rsidR="004067BE" w:rsidRPr="00A10E12" w:rsidRDefault="004067BE" w:rsidP="004067BE">
            <w:pPr>
              <w:rPr>
                <w:rFonts w:ascii="Arial" w:hAnsi="Arial" w:cs="Arial"/>
                <w:sz w:val="16"/>
                <w:szCs w:val="16"/>
                <w:lang w:val="en-US"/>
              </w:rPr>
            </w:pPr>
            <w:r w:rsidRPr="00A10E12">
              <w:rPr>
                <w:rFonts w:ascii="Arial" w:hAnsi="Arial" w:cs="Arial"/>
                <w:sz w:val="16"/>
                <w:szCs w:val="16"/>
              </w:rPr>
              <w:t>June 26, 2024</w:t>
            </w:r>
          </w:p>
        </w:tc>
        <w:tc>
          <w:tcPr>
            <w:tcW w:w="992" w:type="dxa"/>
            <w:tcBorders>
              <w:top w:val="nil"/>
              <w:left w:val="nil"/>
              <w:bottom w:val="nil"/>
              <w:right w:val="nil"/>
            </w:tcBorders>
            <w:shd w:val="clear" w:color="auto" w:fill="auto"/>
            <w:noWrap/>
            <w:hideMark/>
          </w:tcPr>
          <w:p w14:paraId="654AE875" w14:textId="6F873E58" w:rsidR="004067BE" w:rsidRPr="00A10E12" w:rsidRDefault="004067BE" w:rsidP="004067BE">
            <w:pPr>
              <w:ind w:firstLineChars="100" w:firstLine="160"/>
              <w:jc w:val="right"/>
              <w:rPr>
                <w:rFonts w:ascii="Arial" w:hAnsi="Arial" w:cs="Arial"/>
                <w:color w:val="000000"/>
                <w:sz w:val="16"/>
                <w:szCs w:val="16"/>
                <w:lang w:val="en-US"/>
              </w:rPr>
            </w:pPr>
            <w:r w:rsidRPr="00A10E12">
              <w:rPr>
                <w:rFonts w:ascii="Arial" w:hAnsi="Arial" w:cs="Arial"/>
                <w:color w:val="000000"/>
                <w:sz w:val="16"/>
                <w:szCs w:val="16"/>
              </w:rPr>
              <w:t>0.20</w:t>
            </w:r>
          </w:p>
        </w:tc>
        <w:tc>
          <w:tcPr>
            <w:tcW w:w="1095" w:type="dxa"/>
            <w:tcBorders>
              <w:top w:val="nil"/>
              <w:left w:val="nil"/>
              <w:bottom w:val="nil"/>
              <w:right w:val="nil"/>
            </w:tcBorders>
            <w:shd w:val="clear" w:color="auto" w:fill="auto"/>
            <w:noWrap/>
            <w:vAlign w:val="center"/>
            <w:hideMark/>
          </w:tcPr>
          <w:p w14:paraId="05C4C758" w14:textId="65ECCAF7" w:rsidR="004067BE" w:rsidRPr="00A10E12" w:rsidRDefault="004067BE" w:rsidP="004067BE">
            <w:pPr>
              <w:jc w:val="right"/>
              <w:rPr>
                <w:rFonts w:ascii="Arial" w:hAnsi="Arial" w:cs="Arial"/>
                <w:color w:val="000000"/>
                <w:sz w:val="16"/>
                <w:szCs w:val="16"/>
                <w:lang w:val="en-US"/>
              </w:rPr>
            </w:pPr>
            <w:r w:rsidRPr="00A10E12">
              <w:rPr>
                <w:rFonts w:ascii="Arial" w:hAnsi="Arial" w:cs="Arial"/>
                <w:color w:val="000000"/>
                <w:sz w:val="16"/>
                <w:szCs w:val="16"/>
              </w:rPr>
              <w:t xml:space="preserve">200,000 </w:t>
            </w:r>
          </w:p>
        </w:tc>
        <w:tc>
          <w:tcPr>
            <w:tcW w:w="952" w:type="dxa"/>
            <w:tcBorders>
              <w:top w:val="nil"/>
              <w:left w:val="nil"/>
              <w:bottom w:val="nil"/>
              <w:right w:val="nil"/>
            </w:tcBorders>
            <w:shd w:val="clear" w:color="auto" w:fill="auto"/>
            <w:hideMark/>
          </w:tcPr>
          <w:p w14:paraId="69203197" w14:textId="1D3EF5CE" w:rsidR="004067BE" w:rsidRPr="00A10E12" w:rsidRDefault="004067BE" w:rsidP="004067BE">
            <w:pPr>
              <w:jc w:val="right"/>
              <w:rPr>
                <w:rFonts w:ascii="Arial" w:hAnsi="Arial" w:cs="Arial"/>
                <w:sz w:val="16"/>
                <w:szCs w:val="16"/>
                <w:lang w:val="en-US"/>
              </w:rPr>
            </w:pPr>
            <w:r w:rsidRPr="00A10E12">
              <w:rPr>
                <w:rFonts w:ascii="Arial" w:hAnsi="Arial" w:cs="Arial"/>
                <w:sz w:val="16"/>
                <w:szCs w:val="16"/>
                <w:lang w:val="en-US"/>
              </w:rPr>
              <w:t>-</w:t>
            </w:r>
          </w:p>
        </w:tc>
        <w:tc>
          <w:tcPr>
            <w:tcW w:w="993" w:type="dxa"/>
            <w:tcBorders>
              <w:top w:val="nil"/>
              <w:left w:val="nil"/>
              <w:bottom w:val="nil"/>
              <w:right w:val="nil"/>
            </w:tcBorders>
            <w:shd w:val="clear" w:color="auto" w:fill="auto"/>
            <w:hideMark/>
          </w:tcPr>
          <w:p w14:paraId="131B57A8" w14:textId="7A77BA0C" w:rsidR="004067BE" w:rsidRPr="00A10E12" w:rsidRDefault="004067BE" w:rsidP="004067BE">
            <w:pPr>
              <w:jc w:val="right"/>
              <w:rPr>
                <w:rFonts w:ascii="Arial" w:hAnsi="Arial" w:cs="Arial"/>
                <w:sz w:val="16"/>
                <w:szCs w:val="16"/>
                <w:lang w:val="en-US"/>
              </w:rPr>
            </w:pPr>
            <w:r w:rsidRPr="00A10E12">
              <w:rPr>
                <w:rFonts w:ascii="Arial" w:hAnsi="Arial" w:cs="Arial"/>
                <w:sz w:val="16"/>
                <w:szCs w:val="16"/>
                <w:lang w:val="en-US"/>
              </w:rPr>
              <w:t>-</w:t>
            </w:r>
          </w:p>
        </w:tc>
        <w:tc>
          <w:tcPr>
            <w:tcW w:w="1559" w:type="dxa"/>
            <w:tcBorders>
              <w:top w:val="nil"/>
              <w:left w:val="nil"/>
              <w:bottom w:val="nil"/>
              <w:right w:val="nil"/>
            </w:tcBorders>
            <w:shd w:val="clear" w:color="auto" w:fill="auto"/>
            <w:hideMark/>
          </w:tcPr>
          <w:p w14:paraId="1AFE8DCB" w14:textId="00998BD8" w:rsidR="004067BE" w:rsidRPr="00A10E12" w:rsidRDefault="004067BE" w:rsidP="004067BE">
            <w:pPr>
              <w:ind w:firstLineChars="100" w:firstLine="160"/>
              <w:jc w:val="right"/>
              <w:rPr>
                <w:rFonts w:ascii="Arial" w:hAnsi="Arial" w:cs="Arial"/>
                <w:sz w:val="16"/>
                <w:szCs w:val="16"/>
                <w:lang w:val="en-US"/>
              </w:rPr>
            </w:pPr>
            <w:r w:rsidRPr="00A10E12">
              <w:rPr>
                <w:rFonts w:ascii="Arial" w:hAnsi="Arial" w:cs="Arial"/>
                <w:sz w:val="16"/>
                <w:szCs w:val="16"/>
                <w:lang w:val="en-US"/>
              </w:rPr>
              <w:t>-</w:t>
            </w:r>
          </w:p>
        </w:tc>
        <w:tc>
          <w:tcPr>
            <w:tcW w:w="1276" w:type="dxa"/>
            <w:tcBorders>
              <w:top w:val="nil"/>
              <w:left w:val="nil"/>
              <w:bottom w:val="nil"/>
              <w:right w:val="nil"/>
            </w:tcBorders>
            <w:shd w:val="clear" w:color="auto" w:fill="auto"/>
            <w:noWrap/>
            <w:hideMark/>
          </w:tcPr>
          <w:p w14:paraId="32925C58" w14:textId="6563EE63" w:rsidR="004067BE" w:rsidRPr="00A10E12" w:rsidRDefault="004067BE" w:rsidP="004067BE">
            <w:pPr>
              <w:jc w:val="right"/>
              <w:rPr>
                <w:rFonts w:ascii="Arial" w:hAnsi="Arial" w:cs="Arial"/>
                <w:b/>
                <w:bCs/>
                <w:color w:val="000000"/>
                <w:sz w:val="16"/>
                <w:szCs w:val="16"/>
                <w:lang w:val="en-US"/>
              </w:rPr>
            </w:pPr>
            <w:r w:rsidRPr="00A10E12">
              <w:rPr>
                <w:rFonts w:ascii="Arial" w:hAnsi="Arial" w:cs="Arial"/>
                <w:b/>
                <w:sz w:val="16"/>
                <w:szCs w:val="16"/>
              </w:rPr>
              <w:t>200,000</w:t>
            </w:r>
          </w:p>
        </w:tc>
      </w:tr>
      <w:tr w:rsidR="004067BE" w:rsidRPr="003F70A1" w14:paraId="1E612EA8" w14:textId="77777777" w:rsidTr="00F233BE">
        <w:trPr>
          <w:trHeight w:hRule="exact" w:val="170"/>
        </w:trPr>
        <w:tc>
          <w:tcPr>
            <w:tcW w:w="1832" w:type="dxa"/>
            <w:tcBorders>
              <w:top w:val="nil"/>
              <w:left w:val="nil"/>
              <w:right w:val="nil"/>
            </w:tcBorders>
            <w:shd w:val="clear" w:color="auto" w:fill="auto"/>
            <w:hideMark/>
          </w:tcPr>
          <w:p w14:paraId="3685A69D" w14:textId="2980F9FA" w:rsidR="004067BE" w:rsidRPr="00A10E12" w:rsidRDefault="004067BE" w:rsidP="004067BE">
            <w:pPr>
              <w:rPr>
                <w:rFonts w:ascii="Arial" w:hAnsi="Arial" w:cs="Arial"/>
                <w:sz w:val="16"/>
                <w:szCs w:val="16"/>
                <w:lang w:val="en-US"/>
              </w:rPr>
            </w:pPr>
            <w:r w:rsidRPr="00A10E12">
              <w:rPr>
                <w:rFonts w:ascii="Arial" w:hAnsi="Arial" w:cs="Arial"/>
                <w:sz w:val="16"/>
                <w:szCs w:val="16"/>
              </w:rPr>
              <w:t>September 1, 2024</w:t>
            </w:r>
          </w:p>
        </w:tc>
        <w:tc>
          <w:tcPr>
            <w:tcW w:w="992" w:type="dxa"/>
            <w:tcBorders>
              <w:top w:val="nil"/>
              <w:left w:val="nil"/>
              <w:right w:val="nil"/>
            </w:tcBorders>
            <w:shd w:val="clear" w:color="auto" w:fill="auto"/>
            <w:noWrap/>
            <w:hideMark/>
          </w:tcPr>
          <w:p w14:paraId="4055B7DE" w14:textId="7FE68799" w:rsidR="004067BE" w:rsidRPr="00A10E12" w:rsidRDefault="004067BE" w:rsidP="004067BE">
            <w:pPr>
              <w:ind w:firstLineChars="100" w:firstLine="160"/>
              <w:jc w:val="right"/>
              <w:rPr>
                <w:rFonts w:ascii="Arial" w:hAnsi="Arial" w:cs="Arial"/>
                <w:color w:val="000000"/>
                <w:sz w:val="16"/>
                <w:szCs w:val="16"/>
                <w:lang w:val="en-US"/>
              </w:rPr>
            </w:pPr>
            <w:r w:rsidRPr="00A10E12">
              <w:rPr>
                <w:rFonts w:ascii="Arial" w:hAnsi="Arial" w:cs="Arial"/>
                <w:color w:val="000000"/>
                <w:sz w:val="16"/>
                <w:szCs w:val="16"/>
              </w:rPr>
              <w:t>0.20</w:t>
            </w:r>
          </w:p>
        </w:tc>
        <w:tc>
          <w:tcPr>
            <w:tcW w:w="1095" w:type="dxa"/>
            <w:tcBorders>
              <w:top w:val="nil"/>
              <w:left w:val="nil"/>
              <w:right w:val="nil"/>
            </w:tcBorders>
            <w:shd w:val="clear" w:color="auto" w:fill="auto"/>
            <w:noWrap/>
            <w:vAlign w:val="center"/>
            <w:hideMark/>
          </w:tcPr>
          <w:p w14:paraId="337B8987" w14:textId="48335BD1" w:rsidR="004067BE" w:rsidRPr="00A10E12" w:rsidRDefault="004067BE" w:rsidP="004067BE">
            <w:pPr>
              <w:jc w:val="right"/>
              <w:rPr>
                <w:rFonts w:ascii="Arial" w:hAnsi="Arial" w:cs="Arial"/>
                <w:color w:val="000000"/>
                <w:sz w:val="16"/>
                <w:szCs w:val="16"/>
                <w:lang w:val="en-US"/>
              </w:rPr>
            </w:pPr>
            <w:r w:rsidRPr="00A10E12">
              <w:rPr>
                <w:rFonts w:ascii="Arial" w:hAnsi="Arial" w:cs="Arial"/>
                <w:color w:val="000000"/>
                <w:sz w:val="16"/>
                <w:szCs w:val="16"/>
              </w:rPr>
              <w:t xml:space="preserve">200,000 </w:t>
            </w:r>
          </w:p>
        </w:tc>
        <w:tc>
          <w:tcPr>
            <w:tcW w:w="952" w:type="dxa"/>
            <w:tcBorders>
              <w:top w:val="nil"/>
              <w:left w:val="nil"/>
              <w:right w:val="nil"/>
            </w:tcBorders>
            <w:shd w:val="clear" w:color="auto" w:fill="auto"/>
            <w:noWrap/>
            <w:hideMark/>
          </w:tcPr>
          <w:p w14:paraId="2557DDA1" w14:textId="136894AA" w:rsidR="004067BE" w:rsidRPr="00A10E12" w:rsidRDefault="004067BE" w:rsidP="004067BE">
            <w:pPr>
              <w:jc w:val="right"/>
              <w:rPr>
                <w:rFonts w:ascii="Arial" w:hAnsi="Arial" w:cs="Arial"/>
                <w:color w:val="000000"/>
                <w:sz w:val="16"/>
                <w:szCs w:val="16"/>
                <w:lang w:val="en-US"/>
              </w:rPr>
            </w:pPr>
            <w:r w:rsidRPr="00A10E12">
              <w:rPr>
                <w:rFonts w:ascii="Arial" w:hAnsi="Arial" w:cs="Arial"/>
                <w:color w:val="000000"/>
                <w:sz w:val="16"/>
                <w:szCs w:val="16"/>
                <w:lang w:val="en-US"/>
              </w:rPr>
              <w:t>-</w:t>
            </w:r>
          </w:p>
        </w:tc>
        <w:tc>
          <w:tcPr>
            <w:tcW w:w="993" w:type="dxa"/>
            <w:tcBorders>
              <w:top w:val="nil"/>
              <w:left w:val="nil"/>
              <w:right w:val="nil"/>
            </w:tcBorders>
            <w:shd w:val="clear" w:color="auto" w:fill="auto"/>
            <w:hideMark/>
          </w:tcPr>
          <w:p w14:paraId="36DE3E4F" w14:textId="5E2964DB" w:rsidR="004067BE" w:rsidRPr="00A10E12" w:rsidRDefault="004067BE" w:rsidP="004067BE">
            <w:pPr>
              <w:jc w:val="right"/>
              <w:rPr>
                <w:rFonts w:ascii="Arial" w:hAnsi="Arial" w:cs="Arial"/>
                <w:sz w:val="16"/>
                <w:szCs w:val="16"/>
                <w:lang w:val="en-US"/>
              </w:rPr>
            </w:pPr>
            <w:r w:rsidRPr="00A10E12">
              <w:rPr>
                <w:rFonts w:ascii="Arial" w:hAnsi="Arial" w:cs="Arial"/>
                <w:sz w:val="16"/>
                <w:szCs w:val="16"/>
                <w:lang w:val="en-US"/>
              </w:rPr>
              <w:t>-</w:t>
            </w:r>
          </w:p>
        </w:tc>
        <w:tc>
          <w:tcPr>
            <w:tcW w:w="1559" w:type="dxa"/>
            <w:tcBorders>
              <w:top w:val="nil"/>
              <w:left w:val="nil"/>
              <w:right w:val="nil"/>
            </w:tcBorders>
            <w:shd w:val="clear" w:color="auto" w:fill="auto"/>
            <w:hideMark/>
          </w:tcPr>
          <w:p w14:paraId="070927DB" w14:textId="55578D8E" w:rsidR="004067BE" w:rsidRPr="00A10E12" w:rsidRDefault="004067BE" w:rsidP="004067BE">
            <w:pPr>
              <w:ind w:firstLineChars="100" w:firstLine="160"/>
              <w:jc w:val="right"/>
              <w:rPr>
                <w:rFonts w:ascii="Arial" w:hAnsi="Arial" w:cs="Arial"/>
                <w:sz w:val="16"/>
                <w:szCs w:val="16"/>
                <w:lang w:val="en-US"/>
              </w:rPr>
            </w:pPr>
            <w:r w:rsidRPr="00A10E12">
              <w:rPr>
                <w:rFonts w:ascii="Arial" w:hAnsi="Arial" w:cs="Arial"/>
                <w:sz w:val="16"/>
                <w:szCs w:val="16"/>
                <w:lang w:val="en-US"/>
              </w:rPr>
              <w:t xml:space="preserve"> -</w:t>
            </w:r>
          </w:p>
        </w:tc>
        <w:tc>
          <w:tcPr>
            <w:tcW w:w="1276" w:type="dxa"/>
            <w:tcBorders>
              <w:top w:val="nil"/>
              <w:left w:val="nil"/>
              <w:right w:val="nil"/>
            </w:tcBorders>
            <w:shd w:val="clear" w:color="auto" w:fill="auto"/>
            <w:noWrap/>
            <w:hideMark/>
          </w:tcPr>
          <w:p w14:paraId="054AB728" w14:textId="07541F80" w:rsidR="004067BE" w:rsidRPr="00A10E12" w:rsidRDefault="004067BE" w:rsidP="004067BE">
            <w:pPr>
              <w:jc w:val="right"/>
              <w:rPr>
                <w:rFonts w:ascii="Arial" w:hAnsi="Arial" w:cs="Arial"/>
                <w:b/>
                <w:bCs/>
                <w:color w:val="000000"/>
                <w:sz w:val="16"/>
                <w:szCs w:val="16"/>
                <w:lang w:val="en-US"/>
              </w:rPr>
            </w:pPr>
            <w:r w:rsidRPr="00A10E12">
              <w:rPr>
                <w:rFonts w:ascii="Arial" w:hAnsi="Arial" w:cs="Arial"/>
                <w:b/>
                <w:sz w:val="16"/>
                <w:szCs w:val="16"/>
              </w:rPr>
              <w:t>200,000</w:t>
            </w:r>
          </w:p>
        </w:tc>
      </w:tr>
      <w:tr w:rsidR="004067BE" w:rsidRPr="003F70A1" w14:paraId="6F855FF2" w14:textId="77777777" w:rsidTr="00F233BE">
        <w:trPr>
          <w:trHeight w:hRule="exact" w:val="170"/>
        </w:trPr>
        <w:tc>
          <w:tcPr>
            <w:tcW w:w="1832" w:type="dxa"/>
            <w:tcBorders>
              <w:top w:val="nil"/>
              <w:left w:val="nil"/>
              <w:right w:val="nil"/>
            </w:tcBorders>
            <w:shd w:val="clear" w:color="auto" w:fill="auto"/>
          </w:tcPr>
          <w:p w14:paraId="1A16BA4D" w14:textId="46E0C0D1" w:rsidR="004067BE" w:rsidRPr="00A10E12" w:rsidRDefault="004067BE" w:rsidP="004067BE">
            <w:pPr>
              <w:rPr>
                <w:rFonts w:ascii="Arial" w:hAnsi="Arial" w:cs="Arial"/>
                <w:sz w:val="16"/>
                <w:szCs w:val="16"/>
                <w:lang w:val="en-US"/>
              </w:rPr>
            </w:pPr>
            <w:r w:rsidRPr="00A10E12">
              <w:rPr>
                <w:rFonts w:ascii="Arial" w:hAnsi="Arial" w:cs="Arial"/>
                <w:sz w:val="16"/>
                <w:szCs w:val="16"/>
              </w:rPr>
              <w:t>July 13,</w:t>
            </w:r>
            <w:r w:rsidR="002A2D7F" w:rsidRPr="00A10E12">
              <w:rPr>
                <w:rFonts w:ascii="Arial" w:hAnsi="Arial" w:cs="Arial"/>
                <w:sz w:val="16"/>
                <w:szCs w:val="16"/>
              </w:rPr>
              <w:t xml:space="preserve"> </w:t>
            </w:r>
            <w:r w:rsidRPr="00A10E12">
              <w:rPr>
                <w:rFonts w:ascii="Arial" w:hAnsi="Arial" w:cs="Arial"/>
                <w:sz w:val="16"/>
                <w:szCs w:val="16"/>
              </w:rPr>
              <w:t>2025</w:t>
            </w:r>
          </w:p>
        </w:tc>
        <w:tc>
          <w:tcPr>
            <w:tcW w:w="992" w:type="dxa"/>
            <w:tcBorders>
              <w:top w:val="nil"/>
              <w:left w:val="nil"/>
              <w:right w:val="nil"/>
            </w:tcBorders>
            <w:shd w:val="clear" w:color="auto" w:fill="auto"/>
            <w:noWrap/>
          </w:tcPr>
          <w:p w14:paraId="74F5CAF3" w14:textId="2050C887" w:rsidR="004067BE" w:rsidRPr="00A10E12" w:rsidRDefault="004067BE" w:rsidP="004067BE">
            <w:pPr>
              <w:ind w:firstLineChars="100" w:firstLine="160"/>
              <w:jc w:val="right"/>
              <w:rPr>
                <w:rFonts w:ascii="Arial" w:hAnsi="Arial" w:cs="Arial"/>
                <w:color w:val="000000"/>
                <w:sz w:val="16"/>
                <w:szCs w:val="16"/>
                <w:lang w:val="en-US"/>
              </w:rPr>
            </w:pPr>
            <w:r w:rsidRPr="00A10E12">
              <w:rPr>
                <w:rFonts w:ascii="Arial" w:hAnsi="Arial" w:cs="Arial"/>
                <w:color w:val="000000"/>
                <w:sz w:val="16"/>
                <w:szCs w:val="16"/>
              </w:rPr>
              <w:t>0.20</w:t>
            </w:r>
          </w:p>
        </w:tc>
        <w:tc>
          <w:tcPr>
            <w:tcW w:w="1095" w:type="dxa"/>
            <w:tcBorders>
              <w:top w:val="nil"/>
              <w:left w:val="nil"/>
              <w:right w:val="nil"/>
            </w:tcBorders>
            <w:shd w:val="clear" w:color="auto" w:fill="auto"/>
            <w:noWrap/>
            <w:vAlign w:val="center"/>
          </w:tcPr>
          <w:p w14:paraId="1477C836" w14:textId="755644F4" w:rsidR="004067BE" w:rsidRPr="00A10E12" w:rsidRDefault="004067BE" w:rsidP="004067BE">
            <w:pPr>
              <w:jc w:val="right"/>
              <w:rPr>
                <w:rFonts w:ascii="Arial" w:hAnsi="Arial" w:cs="Arial"/>
                <w:color w:val="000000"/>
                <w:sz w:val="16"/>
                <w:szCs w:val="16"/>
                <w:lang w:val="en-US"/>
              </w:rPr>
            </w:pPr>
            <w:r w:rsidRPr="00A10E12">
              <w:rPr>
                <w:rFonts w:ascii="Arial" w:hAnsi="Arial" w:cs="Arial"/>
                <w:color w:val="000000"/>
                <w:sz w:val="16"/>
                <w:szCs w:val="16"/>
              </w:rPr>
              <w:t xml:space="preserve">200,000 </w:t>
            </w:r>
          </w:p>
        </w:tc>
        <w:tc>
          <w:tcPr>
            <w:tcW w:w="952" w:type="dxa"/>
            <w:tcBorders>
              <w:top w:val="nil"/>
              <w:left w:val="nil"/>
              <w:right w:val="nil"/>
            </w:tcBorders>
            <w:shd w:val="clear" w:color="auto" w:fill="auto"/>
            <w:noWrap/>
          </w:tcPr>
          <w:p w14:paraId="524883E0" w14:textId="732E0E3F" w:rsidR="004067BE" w:rsidRPr="00A10E12" w:rsidRDefault="004067BE" w:rsidP="004067BE">
            <w:pPr>
              <w:jc w:val="right"/>
              <w:rPr>
                <w:rFonts w:ascii="Arial" w:hAnsi="Arial" w:cs="Arial"/>
                <w:color w:val="000000"/>
                <w:sz w:val="16"/>
                <w:szCs w:val="16"/>
                <w:lang w:val="en-US"/>
              </w:rPr>
            </w:pPr>
            <w:r w:rsidRPr="00A10E12">
              <w:rPr>
                <w:rFonts w:ascii="Arial" w:hAnsi="Arial" w:cs="Arial"/>
                <w:color w:val="000000"/>
                <w:sz w:val="16"/>
                <w:szCs w:val="16"/>
                <w:lang w:val="en-US"/>
              </w:rPr>
              <w:t>-</w:t>
            </w:r>
          </w:p>
        </w:tc>
        <w:tc>
          <w:tcPr>
            <w:tcW w:w="993" w:type="dxa"/>
            <w:tcBorders>
              <w:top w:val="nil"/>
              <w:left w:val="nil"/>
              <w:right w:val="nil"/>
            </w:tcBorders>
            <w:shd w:val="clear" w:color="auto" w:fill="auto"/>
          </w:tcPr>
          <w:p w14:paraId="42F8146C" w14:textId="48E57C73" w:rsidR="004067BE" w:rsidRPr="00A10E12" w:rsidRDefault="004067BE" w:rsidP="004067BE">
            <w:pPr>
              <w:jc w:val="right"/>
              <w:rPr>
                <w:rFonts w:ascii="Arial" w:hAnsi="Arial" w:cs="Arial"/>
                <w:sz w:val="16"/>
                <w:szCs w:val="16"/>
                <w:lang w:val="en-US"/>
              </w:rPr>
            </w:pPr>
            <w:r w:rsidRPr="00A10E12">
              <w:rPr>
                <w:rFonts w:ascii="Arial" w:hAnsi="Arial" w:cs="Arial"/>
                <w:sz w:val="16"/>
                <w:szCs w:val="16"/>
                <w:lang w:val="en-US"/>
              </w:rPr>
              <w:t>-</w:t>
            </w:r>
          </w:p>
        </w:tc>
        <w:tc>
          <w:tcPr>
            <w:tcW w:w="1559" w:type="dxa"/>
            <w:tcBorders>
              <w:top w:val="nil"/>
              <w:left w:val="nil"/>
              <w:right w:val="nil"/>
            </w:tcBorders>
            <w:shd w:val="clear" w:color="auto" w:fill="auto"/>
          </w:tcPr>
          <w:p w14:paraId="42344A3A" w14:textId="26E42178" w:rsidR="004067BE" w:rsidRPr="00A10E12" w:rsidRDefault="004067BE" w:rsidP="004067BE">
            <w:pPr>
              <w:ind w:firstLineChars="100" w:firstLine="160"/>
              <w:jc w:val="right"/>
              <w:rPr>
                <w:rFonts w:ascii="Arial" w:hAnsi="Arial" w:cs="Arial"/>
                <w:sz w:val="16"/>
                <w:szCs w:val="16"/>
                <w:lang w:val="en-US"/>
              </w:rPr>
            </w:pPr>
            <w:r w:rsidRPr="00A10E12">
              <w:rPr>
                <w:rFonts w:ascii="Arial" w:hAnsi="Arial" w:cs="Arial"/>
                <w:sz w:val="16"/>
                <w:szCs w:val="16"/>
                <w:lang w:val="en-US"/>
              </w:rPr>
              <w:t>-</w:t>
            </w:r>
          </w:p>
        </w:tc>
        <w:tc>
          <w:tcPr>
            <w:tcW w:w="1276" w:type="dxa"/>
            <w:tcBorders>
              <w:top w:val="nil"/>
              <w:left w:val="nil"/>
              <w:right w:val="nil"/>
            </w:tcBorders>
            <w:shd w:val="clear" w:color="auto" w:fill="auto"/>
            <w:noWrap/>
          </w:tcPr>
          <w:p w14:paraId="6B10687C" w14:textId="2C984DF4" w:rsidR="004067BE" w:rsidRPr="00A10E12" w:rsidRDefault="004067BE" w:rsidP="004067BE">
            <w:pPr>
              <w:jc w:val="right"/>
              <w:rPr>
                <w:rFonts w:ascii="Arial" w:hAnsi="Arial" w:cs="Arial"/>
                <w:b/>
                <w:bCs/>
                <w:color w:val="000000"/>
                <w:sz w:val="16"/>
                <w:szCs w:val="16"/>
                <w:lang w:val="en-US"/>
              </w:rPr>
            </w:pPr>
            <w:r w:rsidRPr="00A10E12">
              <w:rPr>
                <w:rFonts w:ascii="Arial" w:hAnsi="Arial" w:cs="Arial"/>
                <w:b/>
                <w:sz w:val="16"/>
                <w:szCs w:val="16"/>
              </w:rPr>
              <w:t>200,000</w:t>
            </w:r>
          </w:p>
        </w:tc>
      </w:tr>
      <w:tr w:rsidR="004067BE" w:rsidRPr="003F70A1" w14:paraId="72DBCE24" w14:textId="77777777" w:rsidTr="00F233BE">
        <w:trPr>
          <w:trHeight w:hRule="exact" w:val="170"/>
        </w:trPr>
        <w:tc>
          <w:tcPr>
            <w:tcW w:w="1832" w:type="dxa"/>
            <w:tcBorders>
              <w:left w:val="nil"/>
              <w:right w:val="nil"/>
            </w:tcBorders>
            <w:shd w:val="clear" w:color="auto" w:fill="auto"/>
          </w:tcPr>
          <w:p w14:paraId="3C5C2C65" w14:textId="3C5452F7" w:rsidR="004067BE" w:rsidRPr="00A10E12" w:rsidRDefault="004067BE" w:rsidP="004067BE">
            <w:pPr>
              <w:rPr>
                <w:rFonts w:ascii="Arial" w:hAnsi="Arial" w:cs="Arial"/>
                <w:sz w:val="16"/>
                <w:szCs w:val="16"/>
                <w:lang w:val="en-US"/>
              </w:rPr>
            </w:pPr>
            <w:r w:rsidRPr="00A10E12">
              <w:rPr>
                <w:rFonts w:ascii="Arial" w:hAnsi="Arial" w:cs="Arial"/>
                <w:sz w:val="16"/>
                <w:szCs w:val="16"/>
              </w:rPr>
              <w:t>February 4,</w:t>
            </w:r>
            <w:r w:rsidR="002A2D7F" w:rsidRPr="00A10E12">
              <w:rPr>
                <w:rFonts w:ascii="Arial" w:hAnsi="Arial" w:cs="Arial"/>
                <w:sz w:val="16"/>
                <w:szCs w:val="16"/>
              </w:rPr>
              <w:t xml:space="preserve"> </w:t>
            </w:r>
            <w:r w:rsidRPr="00A10E12">
              <w:rPr>
                <w:rFonts w:ascii="Arial" w:hAnsi="Arial" w:cs="Arial"/>
                <w:sz w:val="16"/>
                <w:szCs w:val="16"/>
              </w:rPr>
              <w:t>2026</w:t>
            </w:r>
          </w:p>
        </w:tc>
        <w:tc>
          <w:tcPr>
            <w:tcW w:w="992" w:type="dxa"/>
            <w:tcBorders>
              <w:left w:val="nil"/>
              <w:right w:val="nil"/>
            </w:tcBorders>
            <w:shd w:val="clear" w:color="auto" w:fill="auto"/>
            <w:noWrap/>
          </w:tcPr>
          <w:p w14:paraId="371FF8D5" w14:textId="185A31A2" w:rsidR="004067BE" w:rsidRPr="00A10E12" w:rsidRDefault="004067BE" w:rsidP="004067BE">
            <w:pPr>
              <w:ind w:firstLineChars="100" w:firstLine="160"/>
              <w:jc w:val="right"/>
              <w:rPr>
                <w:rFonts w:ascii="Arial" w:hAnsi="Arial" w:cs="Arial"/>
                <w:color w:val="000000"/>
                <w:sz w:val="16"/>
                <w:szCs w:val="16"/>
                <w:lang w:val="en-US"/>
              </w:rPr>
            </w:pPr>
            <w:r w:rsidRPr="00A10E12">
              <w:rPr>
                <w:rFonts w:ascii="Arial" w:hAnsi="Arial" w:cs="Arial"/>
                <w:color w:val="000000"/>
                <w:sz w:val="16"/>
                <w:szCs w:val="16"/>
              </w:rPr>
              <w:t>0.32</w:t>
            </w:r>
          </w:p>
        </w:tc>
        <w:tc>
          <w:tcPr>
            <w:tcW w:w="1095" w:type="dxa"/>
            <w:tcBorders>
              <w:left w:val="nil"/>
              <w:right w:val="nil"/>
            </w:tcBorders>
            <w:shd w:val="clear" w:color="auto" w:fill="auto"/>
            <w:noWrap/>
            <w:vAlign w:val="center"/>
          </w:tcPr>
          <w:p w14:paraId="6099CA8F" w14:textId="09A0314A" w:rsidR="004067BE" w:rsidRPr="00A10E12" w:rsidRDefault="004067BE" w:rsidP="004067BE">
            <w:pPr>
              <w:jc w:val="right"/>
              <w:rPr>
                <w:rFonts w:ascii="Arial" w:hAnsi="Arial" w:cs="Arial"/>
                <w:color w:val="000000"/>
                <w:sz w:val="16"/>
                <w:szCs w:val="16"/>
                <w:lang w:val="en-US"/>
              </w:rPr>
            </w:pPr>
            <w:r w:rsidRPr="00A10E12">
              <w:rPr>
                <w:rFonts w:ascii="Arial" w:hAnsi="Arial" w:cs="Arial"/>
                <w:color w:val="000000"/>
                <w:sz w:val="16"/>
                <w:szCs w:val="16"/>
              </w:rPr>
              <w:t xml:space="preserve">1,750,000 </w:t>
            </w:r>
          </w:p>
        </w:tc>
        <w:tc>
          <w:tcPr>
            <w:tcW w:w="952" w:type="dxa"/>
            <w:tcBorders>
              <w:left w:val="nil"/>
              <w:right w:val="nil"/>
            </w:tcBorders>
            <w:shd w:val="clear" w:color="auto" w:fill="auto"/>
            <w:noWrap/>
          </w:tcPr>
          <w:p w14:paraId="06FCBF39" w14:textId="54EA9E0F" w:rsidR="004067BE" w:rsidRPr="00A10E12" w:rsidRDefault="004067BE" w:rsidP="004067BE">
            <w:pPr>
              <w:jc w:val="right"/>
              <w:rPr>
                <w:rFonts w:ascii="Arial" w:hAnsi="Arial" w:cs="Arial"/>
                <w:color w:val="000000"/>
                <w:sz w:val="16"/>
                <w:szCs w:val="16"/>
                <w:lang w:val="en-US"/>
              </w:rPr>
            </w:pPr>
            <w:r w:rsidRPr="00A10E12">
              <w:rPr>
                <w:rFonts w:ascii="Arial" w:hAnsi="Arial" w:cs="Arial"/>
                <w:color w:val="000000"/>
                <w:sz w:val="16"/>
                <w:szCs w:val="16"/>
                <w:lang w:val="en-US"/>
              </w:rPr>
              <w:t>-</w:t>
            </w:r>
          </w:p>
        </w:tc>
        <w:tc>
          <w:tcPr>
            <w:tcW w:w="993" w:type="dxa"/>
            <w:tcBorders>
              <w:left w:val="nil"/>
              <w:right w:val="nil"/>
            </w:tcBorders>
            <w:shd w:val="clear" w:color="auto" w:fill="auto"/>
          </w:tcPr>
          <w:p w14:paraId="29409712" w14:textId="1789C74B" w:rsidR="004067BE" w:rsidRPr="00A10E12" w:rsidRDefault="004067BE" w:rsidP="004067BE">
            <w:pPr>
              <w:jc w:val="right"/>
              <w:rPr>
                <w:rFonts w:ascii="Arial" w:hAnsi="Arial" w:cs="Arial"/>
                <w:sz w:val="16"/>
                <w:szCs w:val="16"/>
                <w:lang w:val="en-US"/>
              </w:rPr>
            </w:pPr>
            <w:r w:rsidRPr="00A10E12">
              <w:rPr>
                <w:rFonts w:ascii="Arial" w:hAnsi="Arial" w:cs="Arial"/>
                <w:sz w:val="16"/>
                <w:szCs w:val="16"/>
                <w:lang w:val="en-US"/>
              </w:rPr>
              <w:t>-</w:t>
            </w:r>
          </w:p>
        </w:tc>
        <w:tc>
          <w:tcPr>
            <w:tcW w:w="1559" w:type="dxa"/>
            <w:tcBorders>
              <w:left w:val="nil"/>
              <w:right w:val="nil"/>
            </w:tcBorders>
            <w:shd w:val="clear" w:color="auto" w:fill="auto"/>
          </w:tcPr>
          <w:p w14:paraId="2DF04B35" w14:textId="1BAF5786" w:rsidR="004067BE" w:rsidRPr="00A10E12" w:rsidRDefault="004067BE" w:rsidP="004067BE">
            <w:pPr>
              <w:ind w:firstLineChars="100" w:firstLine="160"/>
              <w:jc w:val="right"/>
              <w:rPr>
                <w:rFonts w:ascii="Arial" w:hAnsi="Arial" w:cs="Arial"/>
                <w:sz w:val="16"/>
                <w:szCs w:val="16"/>
                <w:lang w:val="en-US"/>
              </w:rPr>
            </w:pPr>
            <w:r w:rsidRPr="00A10E12">
              <w:rPr>
                <w:rFonts w:ascii="Arial" w:hAnsi="Arial" w:cs="Arial"/>
                <w:sz w:val="16"/>
                <w:szCs w:val="16"/>
                <w:lang w:val="en-US"/>
              </w:rPr>
              <w:t>-</w:t>
            </w:r>
          </w:p>
        </w:tc>
        <w:tc>
          <w:tcPr>
            <w:tcW w:w="1276" w:type="dxa"/>
            <w:tcBorders>
              <w:left w:val="nil"/>
              <w:right w:val="nil"/>
            </w:tcBorders>
            <w:shd w:val="clear" w:color="auto" w:fill="auto"/>
            <w:noWrap/>
          </w:tcPr>
          <w:p w14:paraId="7681F689" w14:textId="364DF91C" w:rsidR="004067BE" w:rsidRPr="00A10E12" w:rsidRDefault="004067BE" w:rsidP="004067BE">
            <w:pPr>
              <w:jc w:val="right"/>
              <w:rPr>
                <w:rFonts w:ascii="Arial" w:hAnsi="Arial" w:cs="Arial"/>
                <w:b/>
                <w:bCs/>
                <w:color w:val="000000"/>
                <w:sz w:val="16"/>
                <w:szCs w:val="16"/>
                <w:lang w:val="en-US"/>
              </w:rPr>
            </w:pPr>
            <w:r w:rsidRPr="00A10E12">
              <w:rPr>
                <w:rFonts w:ascii="Arial" w:hAnsi="Arial" w:cs="Arial"/>
                <w:b/>
                <w:sz w:val="16"/>
                <w:szCs w:val="16"/>
              </w:rPr>
              <w:t>1,750,000</w:t>
            </w:r>
          </w:p>
        </w:tc>
      </w:tr>
      <w:tr w:rsidR="004067BE" w:rsidRPr="003F70A1" w14:paraId="65821FCF" w14:textId="77777777" w:rsidTr="00F233BE">
        <w:trPr>
          <w:trHeight w:hRule="exact" w:val="170"/>
        </w:trPr>
        <w:tc>
          <w:tcPr>
            <w:tcW w:w="1832" w:type="dxa"/>
            <w:tcBorders>
              <w:left w:val="nil"/>
              <w:right w:val="nil"/>
            </w:tcBorders>
            <w:shd w:val="clear" w:color="auto" w:fill="auto"/>
          </w:tcPr>
          <w:p w14:paraId="7BBE3205" w14:textId="51A28D1D" w:rsidR="004067BE" w:rsidRPr="00A10E12" w:rsidRDefault="004067BE" w:rsidP="004067BE">
            <w:pPr>
              <w:rPr>
                <w:rFonts w:ascii="Arial" w:hAnsi="Arial" w:cs="Arial"/>
                <w:sz w:val="16"/>
                <w:szCs w:val="16"/>
                <w:lang w:val="en-US"/>
              </w:rPr>
            </w:pPr>
            <w:r w:rsidRPr="00A10E12">
              <w:rPr>
                <w:rFonts w:ascii="Arial" w:hAnsi="Arial" w:cs="Arial"/>
                <w:sz w:val="16"/>
                <w:szCs w:val="16"/>
              </w:rPr>
              <w:t>April 27,</w:t>
            </w:r>
            <w:r w:rsidR="002A2D7F" w:rsidRPr="00A10E12">
              <w:rPr>
                <w:rFonts w:ascii="Arial" w:hAnsi="Arial" w:cs="Arial"/>
                <w:sz w:val="16"/>
                <w:szCs w:val="16"/>
              </w:rPr>
              <w:t xml:space="preserve"> </w:t>
            </w:r>
            <w:r w:rsidRPr="00A10E12">
              <w:rPr>
                <w:rFonts w:ascii="Arial" w:hAnsi="Arial" w:cs="Arial"/>
                <w:sz w:val="16"/>
                <w:szCs w:val="16"/>
              </w:rPr>
              <w:t>2026</w:t>
            </w:r>
          </w:p>
        </w:tc>
        <w:tc>
          <w:tcPr>
            <w:tcW w:w="992" w:type="dxa"/>
            <w:tcBorders>
              <w:left w:val="nil"/>
              <w:right w:val="nil"/>
            </w:tcBorders>
            <w:shd w:val="clear" w:color="auto" w:fill="auto"/>
            <w:noWrap/>
          </w:tcPr>
          <w:p w14:paraId="4A91E8BF" w14:textId="397389BF" w:rsidR="004067BE" w:rsidRPr="00A10E12" w:rsidRDefault="004067BE" w:rsidP="004067BE">
            <w:pPr>
              <w:ind w:firstLineChars="100" w:firstLine="160"/>
              <w:jc w:val="right"/>
              <w:rPr>
                <w:rFonts w:ascii="Arial" w:hAnsi="Arial" w:cs="Arial"/>
                <w:color w:val="000000"/>
                <w:sz w:val="16"/>
                <w:szCs w:val="16"/>
                <w:lang w:val="en-US"/>
              </w:rPr>
            </w:pPr>
            <w:r w:rsidRPr="00A10E12">
              <w:rPr>
                <w:rFonts w:ascii="Arial" w:hAnsi="Arial" w:cs="Arial"/>
                <w:color w:val="000000"/>
                <w:sz w:val="16"/>
                <w:szCs w:val="16"/>
              </w:rPr>
              <w:t>0.32</w:t>
            </w:r>
          </w:p>
        </w:tc>
        <w:tc>
          <w:tcPr>
            <w:tcW w:w="1095" w:type="dxa"/>
            <w:tcBorders>
              <w:left w:val="nil"/>
              <w:right w:val="nil"/>
            </w:tcBorders>
            <w:shd w:val="clear" w:color="auto" w:fill="auto"/>
            <w:noWrap/>
            <w:vAlign w:val="center"/>
          </w:tcPr>
          <w:p w14:paraId="5A9AB5D6" w14:textId="618FA60B" w:rsidR="004067BE" w:rsidRPr="00A10E12" w:rsidRDefault="004067BE" w:rsidP="004067BE">
            <w:pPr>
              <w:jc w:val="right"/>
              <w:rPr>
                <w:rFonts w:ascii="Arial" w:hAnsi="Arial" w:cs="Arial"/>
                <w:color w:val="000000"/>
                <w:sz w:val="16"/>
                <w:szCs w:val="16"/>
                <w:lang w:val="en-US"/>
              </w:rPr>
            </w:pPr>
            <w:r w:rsidRPr="00A10E12">
              <w:rPr>
                <w:rFonts w:ascii="Arial" w:hAnsi="Arial" w:cs="Arial"/>
                <w:color w:val="000000"/>
                <w:sz w:val="16"/>
                <w:szCs w:val="16"/>
              </w:rPr>
              <w:t xml:space="preserve">200,000 </w:t>
            </w:r>
          </w:p>
        </w:tc>
        <w:tc>
          <w:tcPr>
            <w:tcW w:w="952" w:type="dxa"/>
            <w:tcBorders>
              <w:left w:val="nil"/>
              <w:right w:val="nil"/>
            </w:tcBorders>
            <w:shd w:val="clear" w:color="auto" w:fill="auto"/>
            <w:noWrap/>
          </w:tcPr>
          <w:p w14:paraId="7C3EB365" w14:textId="037C7825" w:rsidR="004067BE" w:rsidRPr="00A10E12" w:rsidRDefault="004067BE" w:rsidP="004067BE">
            <w:pPr>
              <w:jc w:val="right"/>
              <w:rPr>
                <w:rFonts w:ascii="Arial" w:hAnsi="Arial" w:cs="Arial"/>
                <w:color w:val="000000"/>
                <w:sz w:val="16"/>
                <w:szCs w:val="16"/>
                <w:lang w:val="en-US"/>
              </w:rPr>
            </w:pPr>
            <w:r w:rsidRPr="00A10E12">
              <w:rPr>
                <w:rFonts w:ascii="Arial" w:hAnsi="Arial" w:cs="Arial"/>
                <w:color w:val="000000"/>
                <w:sz w:val="16"/>
                <w:szCs w:val="16"/>
                <w:lang w:val="en-US"/>
              </w:rPr>
              <w:t>-</w:t>
            </w:r>
          </w:p>
        </w:tc>
        <w:tc>
          <w:tcPr>
            <w:tcW w:w="993" w:type="dxa"/>
            <w:tcBorders>
              <w:left w:val="nil"/>
              <w:right w:val="nil"/>
            </w:tcBorders>
            <w:shd w:val="clear" w:color="auto" w:fill="auto"/>
          </w:tcPr>
          <w:p w14:paraId="0C753609" w14:textId="2E1FFF9B" w:rsidR="004067BE" w:rsidRPr="00A10E12" w:rsidRDefault="004067BE" w:rsidP="004067BE">
            <w:pPr>
              <w:jc w:val="right"/>
              <w:rPr>
                <w:rFonts w:ascii="Arial" w:hAnsi="Arial" w:cs="Arial"/>
                <w:sz w:val="16"/>
                <w:szCs w:val="16"/>
                <w:lang w:val="en-US"/>
              </w:rPr>
            </w:pPr>
            <w:r w:rsidRPr="00A10E12">
              <w:rPr>
                <w:rFonts w:ascii="Arial" w:hAnsi="Arial" w:cs="Arial"/>
                <w:sz w:val="16"/>
                <w:szCs w:val="16"/>
                <w:lang w:val="en-US"/>
              </w:rPr>
              <w:t>-</w:t>
            </w:r>
          </w:p>
        </w:tc>
        <w:tc>
          <w:tcPr>
            <w:tcW w:w="1559" w:type="dxa"/>
            <w:tcBorders>
              <w:left w:val="nil"/>
              <w:right w:val="nil"/>
            </w:tcBorders>
            <w:shd w:val="clear" w:color="auto" w:fill="auto"/>
          </w:tcPr>
          <w:p w14:paraId="07A6B2FE" w14:textId="1B4FADDF" w:rsidR="004067BE" w:rsidRPr="00A10E12" w:rsidRDefault="004067BE" w:rsidP="004067BE">
            <w:pPr>
              <w:ind w:firstLineChars="100" w:firstLine="160"/>
              <w:jc w:val="right"/>
              <w:rPr>
                <w:rFonts w:ascii="Arial" w:hAnsi="Arial" w:cs="Arial"/>
                <w:sz w:val="16"/>
                <w:szCs w:val="16"/>
                <w:lang w:val="en-US"/>
              </w:rPr>
            </w:pPr>
            <w:r w:rsidRPr="00A10E12">
              <w:rPr>
                <w:rFonts w:ascii="Arial" w:hAnsi="Arial" w:cs="Arial"/>
                <w:sz w:val="16"/>
                <w:szCs w:val="16"/>
                <w:lang w:val="en-US"/>
              </w:rPr>
              <w:t>-</w:t>
            </w:r>
          </w:p>
        </w:tc>
        <w:tc>
          <w:tcPr>
            <w:tcW w:w="1276" w:type="dxa"/>
            <w:tcBorders>
              <w:left w:val="nil"/>
              <w:right w:val="nil"/>
            </w:tcBorders>
            <w:shd w:val="clear" w:color="auto" w:fill="auto"/>
            <w:noWrap/>
          </w:tcPr>
          <w:p w14:paraId="212D64D6" w14:textId="73398014" w:rsidR="004067BE" w:rsidRPr="00A10E12" w:rsidRDefault="004067BE" w:rsidP="004067BE">
            <w:pPr>
              <w:jc w:val="right"/>
              <w:rPr>
                <w:rFonts w:ascii="Arial" w:hAnsi="Arial" w:cs="Arial"/>
                <w:b/>
                <w:bCs/>
                <w:color w:val="000000"/>
                <w:sz w:val="16"/>
                <w:szCs w:val="16"/>
                <w:lang w:val="en-US"/>
              </w:rPr>
            </w:pPr>
            <w:r w:rsidRPr="00A10E12">
              <w:rPr>
                <w:rFonts w:ascii="Arial" w:hAnsi="Arial" w:cs="Arial"/>
                <w:b/>
                <w:sz w:val="16"/>
                <w:szCs w:val="16"/>
              </w:rPr>
              <w:t>200,000</w:t>
            </w:r>
          </w:p>
        </w:tc>
      </w:tr>
      <w:tr w:rsidR="004067BE" w:rsidRPr="003F70A1" w14:paraId="7C6E257B" w14:textId="77777777" w:rsidTr="00F233BE">
        <w:trPr>
          <w:trHeight w:hRule="exact" w:val="170"/>
        </w:trPr>
        <w:tc>
          <w:tcPr>
            <w:tcW w:w="1832" w:type="dxa"/>
            <w:tcBorders>
              <w:left w:val="nil"/>
              <w:right w:val="nil"/>
            </w:tcBorders>
            <w:shd w:val="clear" w:color="auto" w:fill="auto"/>
          </w:tcPr>
          <w:p w14:paraId="42E6E164" w14:textId="5402BF24" w:rsidR="004067BE" w:rsidRPr="00A10E12" w:rsidRDefault="002A2D7F" w:rsidP="004067BE">
            <w:pPr>
              <w:rPr>
                <w:rFonts w:ascii="Arial" w:hAnsi="Arial" w:cs="Arial"/>
                <w:sz w:val="16"/>
                <w:szCs w:val="16"/>
                <w:lang w:val="en-US"/>
              </w:rPr>
            </w:pPr>
            <w:r w:rsidRPr="00A10E12">
              <w:rPr>
                <w:rFonts w:ascii="Arial" w:hAnsi="Arial" w:cs="Arial"/>
                <w:sz w:val="16"/>
                <w:szCs w:val="16"/>
              </w:rPr>
              <w:t>September 1, 2027</w:t>
            </w:r>
          </w:p>
        </w:tc>
        <w:tc>
          <w:tcPr>
            <w:tcW w:w="992" w:type="dxa"/>
            <w:tcBorders>
              <w:left w:val="nil"/>
              <w:right w:val="nil"/>
            </w:tcBorders>
            <w:shd w:val="clear" w:color="auto" w:fill="auto"/>
            <w:noWrap/>
          </w:tcPr>
          <w:p w14:paraId="2E61921F" w14:textId="207843D9" w:rsidR="004067BE" w:rsidRPr="00A10E12" w:rsidRDefault="004067BE" w:rsidP="004067BE">
            <w:pPr>
              <w:ind w:firstLineChars="100" w:firstLine="160"/>
              <w:jc w:val="right"/>
              <w:rPr>
                <w:rFonts w:ascii="Arial" w:hAnsi="Arial" w:cs="Arial"/>
                <w:color w:val="000000"/>
                <w:sz w:val="16"/>
                <w:szCs w:val="16"/>
                <w:lang w:val="en-US"/>
              </w:rPr>
            </w:pPr>
            <w:r w:rsidRPr="00A10E12">
              <w:rPr>
                <w:rFonts w:ascii="Arial" w:hAnsi="Arial" w:cs="Arial"/>
                <w:color w:val="000000"/>
                <w:sz w:val="16"/>
                <w:szCs w:val="16"/>
              </w:rPr>
              <w:t>0.25</w:t>
            </w:r>
          </w:p>
        </w:tc>
        <w:tc>
          <w:tcPr>
            <w:tcW w:w="1095" w:type="dxa"/>
            <w:tcBorders>
              <w:left w:val="nil"/>
              <w:right w:val="nil"/>
            </w:tcBorders>
            <w:shd w:val="clear" w:color="auto" w:fill="auto"/>
            <w:noWrap/>
          </w:tcPr>
          <w:p w14:paraId="702F6C1A" w14:textId="37E51288" w:rsidR="004067BE" w:rsidRPr="00A10E12" w:rsidRDefault="00D76689" w:rsidP="004067BE">
            <w:pPr>
              <w:ind w:firstLineChars="100" w:firstLine="160"/>
              <w:jc w:val="right"/>
              <w:rPr>
                <w:rFonts w:ascii="Arial" w:hAnsi="Arial" w:cs="Arial"/>
                <w:color w:val="000000"/>
                <w:sz w:val="16"/>
                <w:szCs w:val="16"/>
                <w:lang w:val="en-US"/>
              </w:rPr>
            </w:pPr>
            <w:r w:rsidRPr="00A10E12">
              <w:rPr>
                <w:rFonts w:ascii="Arial" w:hAnsi="Arial" w:cs="Arial"/>
                <w:color w:val="000000"/>
                <w:sz w:val="16"/>
                <w:szCs w:val="16"/>
                <w:lang w:val="en-US"/>
              </w:rPr>
              <w:t>3,155,000</w:t>
            </w:r>
          </w:p>
        </w:tc>
        <w:tc>
          <w:tcPr>
            <w:tcW w:w="952" w:type="dxa"/>
            <w:tcBorders>
              <w:left w:val="nil"/>
              <w:right w:val="nil"/>
            </w:tcBorders>
            <w:shd w:val="clear" w:color="auto" w:fill="auto"/>
            <w:noWrap/>
          </w:tcPr>
          <w:p w14:paraId="66530E2A" w14:textId="16D6521A" w:rsidR="004067BE" w:rsidRPr="00A10E12" w:rsidRDefault="00D76689" w:rsidP="004067BE">
            <w:pPr>
              <w:jc w:val="right"/>
              <w:rPr>
                <w:rFonts w:ascii="Arial" w:hAnsi="Arial" w:cs="Arial"/>
                <w:color w:val="000000"/>
                <w:sz w:val="16"/>
                <w:szCs w:val="16"/>
                <w:lang w:val="en-US"/>
              </w:rPr>
            </w:pPr>
            <w:r w:rsidRPr="00A10E12">
              <w:rPr>
                <w:rFonts w:ascii="Arial" w:hAnsi="Arial" w:cs="Arial"/>
                <w:color w:val="000000"/>
                <w:sz w:val="16"/>
                <w:szCs w:val="16"/>
                <w:lang w:val="en-US"/>
              </w:rPr>
              <w:t>-</w:t>
            </w:r>
          </w:p>
        </w:tc>
        <w:tc>
          <w:tcPr>
            <w:tcW w:w="993" w:type="dxa"/>
            <w:tcBorders>
              <w:left w:val="nil"/>
              <w:right w:val="nil"/>
            </w:tcBorders>
            <w:shd w:val="clear" w:color="auto" w:fill="auto"/>
          </w:tcPr>
          <w:p w14:paraId="1B5350AE" w14:textId="4549B49B" w:rsidR="004067BE" w:rsidRPr="00A10E12" w:rsidRDefault="00A10E12" w:rsidP="004067BE">
            <w:pPr>
              <w:jc w:val="right"/>
              <w:rPr>
                <w:rFonts w:ascii="Arial" w:hAnsi="Arial" w:cs="Arial"/>
                <w:sz w:val="16"/>
                <w:szCs w:val="16"/>
                <w:lang w:val="en-US"/>
              </w:rPr>
            </w:pPr>
            <w:r>
              <w:rPr>
                <w:rFonts w:ascii="Arial" w:hAnsi="Arial" w:cs="Arial"/>
                <w:sz w:val="16"/>
                <w:szCs w:val="16"/>
                <w:lang w:val="en-US"/>
              </w:rPr>
              <w:t>-</w:t>
            </w:r>
          </w:p>
        </w:tc>
        <w:tc>
          <w:tcPr>
            <w:tcW w:w="1559" w:type="dxa"/>
            <w:tcBorders>
              <w:left w:val="nil"/>
              <w:right w:val="nil"/>
            </w:tcBorders>
            <w:shd w:val="clear" w:color="auto" w:fill="auto"/>
          </w:tcPr>
          <w:p w14:paraId="664ADA82" w14:textId="37A26A36" w:rsidR="004067BE" w:rsidRPr="00A10E12" w:rsidRDefault="00A10E12" w:rsidP="004067BE">
            <w:pPr>
              <w:ind w:firstLineChars="100" w:firstLine="160"/>
              <w:jc w:val="right"/>
              <w:rPr>
                <w:rFonts w:ascii="Arial" w:hAnsi="Arial" w:cs="Arial"/>
                <w:sz w:val="16"/>
                <w:szCs w:val="16"/>
                <w:lang w:val="en-US"/>
              </w:rPr>
            </w:pPr>
            <w:r>
              <w:rPr>
                <w:rFonts w:ascii="Arial" w:hAnsi="Arial" w:cs="Arial"/>
                <w:sz w:val="16"/>
                <w:szCs w:val="16"/>
                <w:lang w:val="en-US"/>
              </w:rPr>
              <w:t>-</w:t>
            </w:r>
          </w:p>
        </w:tc>
        <w:tc>
          <w:tcPr>
            <w:tcW w:w="1276" w:type="dxa"/>
            <w:tcBorders>
              <w:left w:val="nil"/>
              <w:right w:val="nil"/>
            </w:tcBorders>
            <w:shd w:val="clear" w:color="auto" w:fill="auto"/>
            <w:noWrap/>
          </w:tcPr>
          <w:p w14:paraId="60AD8903" w14:textId="7FF36FCE" w:rsidR="004067BE" w:rsidRPr="00A10E12" w:rsidRDefault="004067BE" w:rsidP="004067BE">
            <w:pPr>
              <w:jc w:val="right"/>
              <w:rPr>
                <w:rFonts w:ascii="Arial" w:hAnsi="Arial" w:cs="Arial"/>
                <w:b/>
                <w:bCs/>
                <w:color w:val="000000"/>
                <w:sz w:val="16"/>
                <w:szCs w:val="16"/>
                <w:lang w:val="en-US"/>
              </w:rPr>
            </w:pPr>
            <w:r w:rsidRPr="00A10E12">
              <w:rPr>
                <w:rFonts w:ascii="Arial" w:hAnsi="Arial" w:cs="Arial"/>
                <w:b/>
                <w:sz w:val="16"/>
                <w:szCs w:val="16"/>
              </w:rPr>
              <w:t>3,155,000</w:t>
            </w:r>
          </w:p>
        </w:tc>
      </w:tr>
      <w:tr w:rsidR="00D76689" w:rsidRPr="003F70A1" w14:paraId="0DB4818E" w14:textId="77777777" w:rsidTr="00F233BE">
        <w:trPr>
          <w:trHeight w:hRule="exact" w:val="170"/>
        </w:trPr>
        <w:tc>
          <w:tcPr>
            <w:tcW w:w="1832" w:type="dxa"/>
            <w:tcBorders>
              <w:left w:val="nil"/>
              <w:right w:val="nil"/>
            </w:tcBorders>
            <w:shd w:val="clear" w:color="auto" w:fill="auto"/>
          </w:tcPr>
          <w:p w14:paraId="47EE4AF2" w14:textId="722F82AE" w:rsidR="00D76689" w:rsidRPr="00A10E12" w:rsidRDefault="00D76689" w:rsidP="004067BE">
            <w:pPr>
              <w:rPr>
                <w:rFonts w:ascii="Arial" w:hAnsi="Arial" w:cs="Arial"/>
                <w:sz w:val="16"/>
                <w:szCs w:val="16"/>
              </w:rPr>
            </w:pPr>
            <w:r w:rsidRPr="00A10E12">
              <w:rPr>
                <w:rFonts w:ascii="Arial" w:hAnsi="Arial" w:cs="Arial"/>
                <w:sz w:val="16"/>
                <w:szCs w:val="16"/>
              </w:rPr>
              <w:t>May 3, 2028</w:t>
            </w:r>
          </w:p>
        </w:tc>
        <w:tc>
          <w:tcPr>
            <w:tcW w:w="992" w:type="dxa"/>
            <w:tcBorders>
              <w:left w:val="nil"/>
              <w:right w:val="nil"/>
            </w:tcBorders>
            <w:shd w:val="clear" w:color="auto" w:fill="auto"/>
            <w:noWrap/>
          </w:tcPr>
          <w:p w14:paraId="1BBDF707" w14:textId="5DEA7099" w:rsidR="00D76689" w:rsidRPr="00A10E12" w:rsidRDefault="00D76689" w:rsidP="004067BE">
            <w:pPr>
              <w:ind w:firstLineChars="100" w:firstLine="160"/>
              <w:jc w:val="right"/>
              <w:rPr>
                <w:rFonts w:ascii="Arial" w:hAnsi="Arial" w:cs="Arial"/>
                <w:color w:val="000000"/>
                <w:sz w:val="16"/>
                <w:szCs w:val="16"/>
              </w:rPr>
            </w:pPr>
            <w:r w:rsidRPr="00A10E12">
              <w:rPr>
                <w:rFonts w:ascii="Arial" w:hAnsi="Arial" w:cs="Arial"/>
                <w:color w:val="000000"/>
                <w:sz w:val="16"/>
                <w:szCs w:val="16"/>
              </w:rPr>
              <w:t>0.21</w:t>
            </w:r>
          </w:p>
        </w:tc>
        <w:tc>
          <w:tcPr>
            <w:tcW w:w="1095" w:type="dxa"/>
            <w:tcBorders>
              <w:left w:val="nil"/>
              <w:right w:val="nil"/>
            </w:tcBorders>
            <w:shd w:val="clear" w:color="auto" w:fill="auto"/>
            <w:noWrap/>
          </w:tcPr>
          <w:p w14:paraId="61BA7FE3" w14:textId="05EE916D" w:rsidR="00D76689" w:rsidRPr="00A10E12" w:rsidRDefault="00D76689" w:rsidP="004067BE">
            <w:pPr>
              <w:ind w:firstLineChars="100" w:firstLine="160"/>
              <w:jc w:val="right"/>
              <w:rPr>
                <w:rFonts w:ascii="Arial" w:hAnsi="Arial" w:cs="Arial"/>
                <w:color w:val="000000"/>
                <w:sz w:val="16"/>
                <w:szCs w:val="16"/>
                <w:lang w:val="en-US"/>
              </w:rPr>
            </w:pPr>
            <w:r w:rsidRPr="00A10E12">
              <w:rPr>
                <w:rFonts w:ascii="Arial" w:hAnsi="Arial" w:cs="Arial"/>
                <w:color w:val="000000"/>
                <w:sz w:val="16"/>
                <w:szCs w:val="16"/>
                <w:lang w:val="en-US"/>
              </w:rPr>
              <w:t>-</w:t>
            </w:r>
          </w:p>
        </w:tc>
        <w:tc>
          <w:tcPr>
            <w:tcW w:w="952" w:type="dxa"/>
            <w:tcBorders>
              <w:left w:val="nil"/>
              <w:right w:val="nil"/>
            </w:tcBorders>
            <w:shd w:val="clear" w:color="auto" w:fill="auto"/>
            <w:noWrap/>
          </w:tcPr>
          <w:p w14:paraId="4AC91815" w14:textId="040BCD41" w:rsidR="00D76689" w:rsidRPr="00A10E12" w:rsidRDefault="00D76689" w:rsidP="004067BE">
            <w:pPr>
              <w:jc w:val="right"/>
              <w:rPr>
                <w:rFonts w:ascii="Arial" w:hAnsi="Arial" w:cs="Arial"/>
                <w:color w:val="000000"/>
                <w:sz w:val="16"/>
                <w:szCs w:val="16"/>
                <w:lang w:val="en-US"/>
              </w:rPr>
            </w:pPr>
            <w:r w:rsidRPr="00A10E12">
              <w:rPr>
                <w:rFonts w:ascii="Arial" w:hAnsi="Arial" w:cs="Arial"/>
                <w:color w:val="000000"/>
                <w:sz w:val="16"/>
                <w:szCs w:val="16"/>
                <w:lang w:val="en-US"/>
              </w:rPr>
              <w:t>2,480,000</w:t>
            </w:r>
          </w:p>
        </w:tc>
        <w:tc>
          <w:tcPr>
            <w:tcW w:w="993" w:type="dxa"/>
            <w:tcBorders>
              <w:left w:val="nil"/>
              <w:right w:val="nil"/>
            </w:tcBorders>
            <w:shd w:val="clear" w:color="auto" w:fill="auto"/>
          </w:tcPr>
          <w:p w14:paraId="1FADB7B2" w14:textId="53CDD94E" w:rsidR="00D76689" w:rsidRPr="00A10E12" w:rsidRDefault="00D76689" w:rsidP="004067BE">
            <w:pPr>
              <w:jc w:val="right"/>
              <w:rPr>
                <w:rFonts w:ascii="Arial" w:hAnsi="Arial" w:cs="Arial"/>
                <w:sz w:val="16"/>
                <w:szCs w:val="16"/>
                <w:lang w:val="en-US"/>
              </w:rPr>
            </w:pPr>
            <w:r w:rsidRPr="00A10E12">
              <w:rPr>
                <w:rFonts w:ascii="Arial" w:hAnsi="Arial" w:cs="Arial"/>
                <w:sz w:val="16"/>
                <w:szCs w:val="16"/>
                <w:lang w:val="en-US"/>
              </w:rPr>
              <w:t>-</w:t>
            </w:r>
          </w:p>
        </w:tc>
        <w:tc>
          <w:tcPr>
            <w:tcW w:w="1559" w:type="dxa"/>
            <w:tcBorders>
              <w:left w:val="nil"/>
              <w:right w:val="nil"/>
            </w:tcBorders>
            <w:shd w:val="clear" w:color="auto" w:fill="auto"/>
          </w:tcPr>
          <w:p w14:paraId="666CE7E0" w14:textId="1B166300" w:rsidR="00D76689" w:rsidRPr="00A10E12" w:rsidRDefault="00D76689" w:rsidP="004067BE">
            <w:pPr>
              <w:ind w:firstLineChars="100" w:firstLine="160"/>
              <w:jc w:val="right"/>
              <w:rPr>
                <w:rFonts w:ascii="Arial" w:hAnsi="Arial" w:cs="Arial"/>
                <w:sz w:val="16"/>
                <w:szCs w:val="16"/>
                <w:lang w:val="en-US"/>
              </w:rPr>
            </w:pPr>
            <w:r w:rsidRPr="00A10E12">
              <w:rPr>
                <w:rFonts w:ascii="Arial" w:hAnsi="Arial" w:cs="Arial"/>
                <w:sz w:val="16"/>
                <w:szCs w:val="16"/>
                <w:lang w:val="en-US"/>
              </w:rPr>
              <w:t>-</w:t>
            </w:r>
          </w:p>
        </w:tc>
        <w:tc>
          <w:tcPr>
            <w:tcW w:w="1276" w:type="dxa"/>
            <w:tcBorders>
              <w:left w:val="nil"/>
              <w:right w:val="nil"/>
            </w:tcBorders>
            <w:shd w:val="clear" w:color="auto" w:fill="auto"/>
            <w:noWrap/>
          </w:tcPr>
          <w:p w14:paraId="7B086FC3" w14:textId="1B6C84CE" w:rsidR="00D76689" w:rsidRPr="00A10E12" w:rsidRDefault="00D76689" w:rsidP="004067BE">
            <w:pPr>
              <w:jc w:val="right"/>
              <w:rPr>
                <w:rFonts w:ascii="Arial" w:hAnsi="Arial" w:cs="Arial"/>
                <w:b/>
                <w:sz w:val="16"/>
                <w:szCs w:val="16"/>
              </w:rPr>
            </w:pPr>
            <w:r w:rsidRPr="00A10E12">
              <w:rPr>
                <w:rFonts w:ascii="Arial" w:hAnsi="Arial" w:cs="Arial"/>
                <w:b/>
                <w:sz w:val="16"/>
                <w:szCs w:val="16"/>
              </w:rPr>
              <w:t>2,480,000</w:t>
            </w:r>
          </w:p>
        </w:tc>
      </w:tr>
      <w:tr w:rsidR="004067BE" w:rsidRPr="003F70A1" w14:paraId="02CF823D" w14:textId="77777777" w:rsidTr="00F233BE">
        <w:trPr>
          <w:trHeight w:val="262"/>
        </w:trPr>
        <w:tc>
          <w:tcPr>
            <w:tcW w:w="1832" w:type="dxa"/>
            <w:tcBorders>
              <w:top w:val="single" w:sz="4" w:space="0" w:color="auto"/>
              <w:left w:val="nil"/>
              <w:bottom w:val="single" w:sz="4" w:space="0" w:color="auto"/>
              <w:right w:val="nil"/>
            </w:tcBorders>
            <w:shd w:val="clear" w:color="auto" w:fill="auto"/>
            <w:vAlign w:val="bottom"/>
            <w:hideMark/>
          </w:tcPr>
          <w:p w14:paraId="1147B48E" w14:textId="4A67AA69" w:rsidR="004067BE" w:rsidRPr="003F70A1" w:rsidRDefault="004067BE" w:rsidP="004067BE">
            <w:pPr>
              <w:rPr>
                <w:rFonts w:ascii="Arial" w:hAnsi="Arial" w:cs="Arial"/>
                <w:sz w:val="16"/>
                <w:szCs w:val="16"/>
                <w:lang w:val="en-US"/>
              </w:rPr>
            </w:pPr>
            <w:r w:rsidRPr="003F70A1">
              <w:rPr>
                <w:rFonts w:ascii="Arial" w:hAnsi="Arial" w:cs="Arial"/>
                <w:sz w:val="16"/>
                <w:szCs w:val="16"/>
                <w:lang w:val="en-US"/>
              </w:rPr>
              <w:t>Total</w:t>
            </w:r>
          </w:p>
        </w:tc>
        <w:tc>
          <w:tcPr>
            <w:tcW w:w="992" w:type="dxa"/>
            <w:tcBorders>
              <w:top w:val="single" w:sz="4" w:space="0" w:color="auto"/>
              <w:left w:val="nil"/>
              <w:bottom w:val="single" w:sz="4" w:space="0" w:color="auto"/>
              <w:right w:val="nil"/>
            </w:tcBorders>
            <w:shd w:val="clear" w:color="auto" w:fill="auto"/>
            <w:vAlign w:val="bottom"/>
            <w:hideMark/>
          </w:tcPr>
          <w:p w14:paraId="06E6770B" w14:textId="77777777" w:rsidR="004067BE" w:rsidRPr="003F70A1" w:rsidRDefault="004067BE" w:rsidP="004067BE">
            <w:pPr>
              <w:jc w:val="right"/>
              <w:rPr>
                <w:color w:val="000000"/>
                <w:sz w:val="20"/>
                <w:szCs w:val="20"/>
                <w:lang w:val="en-US"/>
              </w:rPr>
            </w:pPr>
            <w:r w:rsidRPr="003F70A1">
              <w:rPr>
                <w:color w:val="000000"/>
                <w:sz w:val="20"/>
                <w:szCs w:val="20"/>
                <w:lang w:val="en-US"/>
              </w:rPr>
              <w:t> </w:t>
            </w:r>
          </w:p>
        </w:tc>
        <w:tc>
          <w:tcPr>
            <w:tcW w:w="1095" w:type="dxa"/>
            <w:tcBorders>
              <w:top w:val="single" w:sz="4" w:space="0" w:color="auto"/>
              <w:left w:val="nil"/>
              <w:bottom w:val="single" w:sz="4" w:space="0" w:color="auto"/>
              <w:right w:val="nil"/>
            </w:tcBorders>
            <w:shd w:val="clear" w:color="auto" w:fill="auto"/>
            <w:noWrap/>
            <w:vAlign w:val="center"/>
            <w:hideMark/>
          </w:tcPr>
          <w:p w14:paraId="52719119" w14:textId="1EA934AB" w:rsidR="004067BE" w:rsidRPr="003F70A1" w:rsidRDefault="00D76689" w:rsidP="004067BE">
            <w:pPr>
              <w:ind w:firstLineChars="100" w:firstLine="160"/>
              <w:jc w:val="right"/>
              <w:rPr>
                <w:rFonts w:ascii="Arial" w:hAnsi="Arial" w:cs="Arial"/>
                <w:color w:val="000000"/>
                <w:sz w:val="16"/>
                <w:szCs w:val="16"/>
                <w:lang w:val="en-US"/>
              </w:rPr>
            </w:pPr>
            <w:r>
              <w:rPr>
                <w:rFonts w:ascii="Arial" w:hAnsi="Arial" w:cs="Arial"/>
                <w:color w:val="000000"/>
                <w:sz w:val="16"/>
                <w:szCs w:val="16"/>
              </w:rPr>
              <w:t>8,625</w:t>
            </w:r>
            <w:r w:rsidR="004067BE" w:rsidRPr="003F70A1">
              <w:rPr>
                <w:rFonts w:ascii="Arial" w:hAnsi="Arial" w:cs="Arial"/>
                <w:color w:val="000000"/>
                <w:sz w:val="16"/>
                <w:szCs w:val="16"/>
              </w:rPr>
              <w:t>,000</w:t>
            </w:r>
          </w:p>
        </w:tc>
        <w:tc>
          <w:tcPr>
            <w:tcW w:w="952" w:type="dxa"/>
            <w:tcBorders>
              <w:top w:val="single" w:sz="4" w:space="0" w:color="auto"/>
              <w:left w:val="nil"/>
              <w:bottom w:val="single" w:sz="4" w:space="0" w:color="auto"/>
              <w:right w:val="nil"/>
            </w:tcBorders>
            <w:shd w:val="clear" w:color="auto" w:fill="auto"/>
            <w:noWrap/>
            <w:vAlign w:val="center"/>
            <w:hideMark/>
          </w:tcPr>
          <w:p w14:paraId="69D85D72" w14:textId="7D0F6C74" w:rsidR="004067BE" w:rsidRPr="003F70A1" w:rsidRDefault="00D76689" w:rsidP="004067BE">
            <w:pPr>
              <w:jc w:val="right"/>
              <w:rPr>
                <w:rFonts w:ascii="Arial" w:hAnsi="Arial" w:cs="Arial"/>
                <w:color w:val="000000"/>
                <w:sz w:val="16"/>
                <w:szCs w:val="16"/>
                <w:lang w:val="en-US"/>
              </w:rPr>
            </w:pPr>
            <w:r>
              <w:rPr>
                <w:rFonts w:ascii="Arial" w:hAnsi="Arial" w:cs="Arial"/>
                <w:color w:val="000000"/>
                <w:sz w:val="16"/>
                <w:szCs w:val="16"/>
              </w:rPr>
              <w:t>2,480,000</w:t>
            </w:r>
          </w:p>
        </w:tc>
        <w:tc>
          <w:tcPr>
            <w:tcW w:w="993" w:type="dxa"/>
            <w:tcBorders>
              <w:top w:val="single" w:sz="4" w:space="0" w:color="auto"/>
              <w:left w:val="nil"/>
              <w:bottom w:val="single" w:sz="4" w:space="0" w:color="auto"/>
              <w:right w:val="nil"/>
            </w:tcBorders>
            <w:shd w:val="clear" w:color="auto" w:fill="auto"/>
            <w:vAlign w:val="center"/>
            <w:hideMark/>
          </w:tcPr>
          <w:p w14:paraId="2C85D7CD" w14:textId="6D09761F" w:rsidR="004067BE" w:rsidRPr="003F70A1" w:rsidRDefault="004067BE" w:rsidP="004067BE">
            <w:pPr>
              <w:rPr>
                <w:rFonts w:ascii="Arial" w:hAnsi="Arial" w:cs="Arial"/>
                <w:sz w:val="16"/>
                <w:szCs w:val="16"/>
                <w:lang w:val="en-US"/>
              </w:rPr>
            </w:pPr>
            <w:r w:rsidRPr="003F70A1">
              <w:rPr>
                <w:rFonts w:ascii="Arial" w:hAnsi="Arial" w:cs="Arial"/>
                <w:sz w:val="16"/>
                <w:szCs w:val="16"/>
              </w:rPr>
              <w:t xml:space="preserve"> </w:t>
            </w:r>
            <w:r w:rsidR="00F00785">
              <w:rPr>
                <w:rFonts w:ascii="Arial" w:hAnsi="Arial" w:cs="Arial"/>
                <w:sz w:val="16"/>
                <w:szCs w:val="16"/>
              </w:rPr>
              <w:t xml:space="preserve">              </w:t>
            </w:r>
            <w:r w:rsidRPr="003F70A1">
              <w:rPr>
                <w:rFonts w:ascii="Arial" w:hAnsi="Arial" w:cs="Arial"/>
                <w:sz w:val="16"/>
                <w:szCs w:val="16"/>
              </w:rPr>
              <w:t xml:space="preserve"> </w:t>
            </w:r>
            <w:r w:rsidR="00D76689">
              <w:rPr>
                <w:rFonts w:ascii="Arial" w:hAnsi="Arial" w:cs="Arial"/>
                <w:sz w:val="16"/>
                <w:szCs w:val="16"/>
              </w:rPr>
              <w:t>-</w:t>
            </w:r>
          </w:p>
        </w:tc>
        <w:tc>
          <w:tcPr>
            <w:tcW w:w="1559" w:type="dxa"/>
            <w:tcBorders>
              <w:top w:val="single" w:sz="4" w:space="0" w:color="auto"/>
              <w:left w:val="nil"/>
              <w:bottom w:val="single" w:sz="4" w:space="0" w:color="auto"/>
              <w:right w:val="nil"/>
            </w:tcBorders>
            <w:shd w:val="clear" w:color="auto" w:fill="auto"/>
            <w:noWrap/>
            <w:vAlign w:val="center"/>
            <w:hideMark/>
          </w:tcPr>
          <w:p w14:paraId="25B490D7" w14:textId="3E864BEC" w:rsidR="004067BE" w:rsidRPr="003F70A1" w:rsidRDefault="004067BE" w:rsidP="004067BE">
            <w:pPr>
              <w:ind w:firstLineChars="100" w:firstLine="160"/>
              <w:jc w:val="right"/>
              <w:rPr>
                <w:rFonts w:ascii="Arial" w:hAnsi="Arial" w:cs="Arial"/>
                <w:color w:val="000000"/>
                <w:sz w:val="16"/>
                <w:szCs w:val="16"/>
                <w:lang w:val="en-US"/>
              </w:rPr>
            </w:pPr>
            <w:r w:rsidRPr="003F70A1">
              <w:rPr>
                <w:rFonts w:ascii="Arial" w:hAnsi="Arial" w:cs="Arial"/>
                <w:sz w:val="16"/>
                <w:szCs w:val="16"/>
              </w:rPr>
              <w:t xml:space="preserve">        (</w:t>
            </w:r>
            <w:r w:rsidR="00D76689">
              <w:rPr>
                <w:rFonts w:ascii="Arial" w:hAnsi="Arial" w:cs="Arial"/>
                <w:sz w:val="16"/>
                <w:szCs w:val="16"/>
              </w:rPr>
              <w:t>2,320,000</w:t>
            </w:r>
            <w:r w:rsidRPr="003F70A1">
              <w:rPr>
                <w:rFonts w:ascii="Arial" w:hAnsi="Arial" w:cs="Arial"/>
                <w:sz w:val="16"/>
                <w:szCs w:val="16"/>
              </w:rPr>
              <w:t>)</w:t>
            </w:r>
          </w:p>
        </w:tc>
        <w:tc>
          <w:tcPr>
            <w:tcW w:w="1276" w:type="dxa"/>
            <w:tcBorders>
              <w:top w:val="single" w:sz="4" w:space="0" w:color="auto"/>
              <w:left w:val="nil"/>
              <w:bottom w:val="single" w:sz="4" w:space="0" w:color="auto"/>
              <w:right w:val="nil"/>
            </w:tcBorders>
            <w:shd w:val="clear" w:color="auto" w:fill="auto"/>
            <w:noWrap/>
            <w:vAlign w:val="center"/>
            <w:hideMark/>
          </w:tcPr>
          <w:p w14:paraId="1B2558E1" w14:textId="05D86948" w:rsidR="004067BE" w:rsidRPr="003F70A1" w:rsidRDefault="004067BE" w:rsidP="004067BE">
            <w:pPr>
              <w:jc w:val="right"/>
              <w:rPr>
                <w:rFonts w:ascii="Arial" w:hAnsi="Arial" w:cs="Arial"/>
                <w:b/>
                <w:bCs/>
                <w:color w:val="000000"/>
                <w:sz w:val="16"/>
                <w:szCs w:val="16"/>
                <w:lang w:val="en-US"/>
              </w:rPr>
            </w:pPr>
            <w:r w:rsidRPr="003F70A1">
              <w:rPr>
                <w:rFonts w:ascii="Arial" w:hAnsi="Arial" w:cs="Arial"/>
                <w:b/>
                <w:color w:val="000000"/>
                <w:sz w:val="16"/>
                <w:szCs w:val="16"/>
              </w:rPr>
              <w:t>8,</w:t>
            </w:r>
            <w:r w:rsidR="00D76689">
              <w:rPr>
                <w:rFonts w:ascii="Arial" w:hAnsi="Arial" w:cs="Arial"/>
                <w:b/>
                <w:color w:val="000000"/>
                <w:sz w:val="16"/>
                <w:szCs w:val="16"/>
              </w:rPr>
              <w:t>7</w:t>
            </w:r>
            <w:r w:rsidR="003E60F5">
              <w:rPr>
                <w:rFonts w:ascii="Arial" w:hAnsi="Arial" w:cs="Arial"/>
                <w:b/>
                <w:color w:val="000000"/>
                <w:sz w:val="16"/>
                <w:szCs w:val="16"/>
              </w:rPr>
              <w:t>8</w:t>
            </w:r>
            <w:r w:rsidRPr="003F70A1">
              <w:rPr>
                <w:rFonts w:ascii="Arial" w:hAnsi="Arial" w:cs="Arial"/>
                <w:b/>
                <w:color w:val="000000"/>
                <w:sz w:val="16"/>
                <w:szCs w:val="16"/>
              </w:rPr>
              <w:t>5,000</w:t>
            </w:r>
          </w:p>
        </w:tc>
      </w:tr>
      <w:tr w:rsidR="00291BE7" w:rsidRPr="00C01038" w14:paraId="589D7804" w14:textId="77777777" w:rsidTr="00F97702">
        <w:trPr>
          <w:trHeight w:val="262"/>
        </w:trPr>
        <w:tc>
          <w:tcPr>
            <w:tcW w:w="1832" w:type="dxa"/>
            <w:tcBorders>
              <w:top w:val="single" w:sz="4" w:space="0" w:color="auto"/>
              <w:left w:val="nil"/>
              <w:bottom w:val="single" w:sz="4" w:space="0" w:color="auto"/>
              <w:right w:val="nil"/>
            </w:tcBorders>
            <w:shd w:val="clear" w:color="auto" w:fill="auto"/>
            <w:vAlign w:val="bottom"/>
          </w:tcPr>
          <w:p w14:paraId="00C288F0" w14:textId="726E9784" w:rsidR="00291BE7" w:rsidRPr="003F70A1" w:rsidRDefault="00291BE7" w:rsidP="00F97702">
            <w:pPr>
              <w:rPr>
                <w:rFonts w:ascii="Arial" w:hAnsi="Arial" w:cs="Arial"/>
                <w:sz w:val="16"/>
                <w:szCs w:val="16"/>
                <w:lang w:val="en-US"/>
              </w:rPr>
            </w:pPr>
            <w:r w:rsidRPr="003F70A1">
              <w:rPr>
                <w:rFonts w:ascii="Arial" w:hAnsi="Arial" w:cs="Arial"/>
                <w:sz w:val="16"/>
              </w:rPr>
              <w:t>Wei</w:t>
            </w:r>
            <w:r w:rsidR="000A51DB" w:rsidRPr="003F70A1">
              <w:rPr>
                <w:rFonts w:ascii="Arial" w:hAnsi="Arial" w:cs="Arial"/>
                <w:sz w:val="16"/>
              </w:rPr>
              <w:t>g</w:t>
            </w:r>
            <w:r w:rsidRPr="003F70A1">
              <w:rPr>
                <w:rFonts w:ascii="Arial" w:hAnsi="Arial" w:cs="Arial"/>
                <w:sz w:val="16"/>
              </w:rPr>
              <w:t>hted Average exercise price</w:t>
            </w:r>
          </w:p>
        </w:tc>
        <w:tc>
          <w:tcPr>
            <w:tcW w:w="992" w:type="dxa"/>
            <w:tcBorders>
              <w:top w:val="single" w:sz="4" w:space="0" w:color="auto"/>
              <w:left w:val="nil"/>
              <w:bottom w:val="single" w:sz="4" w:space="0" w:color="auto"/>
              <w:right w:val="nil"/>
            </w:tcBorders>
            <w:shd w:val="clear" w:color="auto" w:fill="auto"/>
            <w:vAlign w:val="bottom"/>
          </w:tcPr>
          <w:p w14:paraId="420C1570" w14:textId="0AE06C3A" w:rsidR="00291BE7" w:rsidRPr="003F70A1" w:rsidRDefault="00291BE7" w:rsidP="00012463">
            <w:pPr>
              <w:jc w:val="right"/>
              <w:rPr>
                <w:color w:val="000000"/>
                <w:sz w:val="20"/>
                <w:szCs w:val="20"/>
                <w:lang w:val="en-US"/>
              </w:rPr>
            </w:pPr>
          </w:p>
        </w:tc>
        <w:tc>
          <w:tcPr>
            <w:tcW w:w="1095" w:type="dxa"/>
            <w:tcBorders>
              <w:top w:val="single" w:sz="4" w:space="0" w:color="auto"/>
              <w:left w:val="nil"/>
              <w:bottom w:val="single" w:sz="4" w:space="0" w:color="auto"/>
              <w:right w:val="nil"/>
            </w:tcBorders>
            <w:shd w:val="clear" w:color="auto" w:fill="auto"/>
            <w:noWrap/>
            <w:vAlign w:val="bottom"/>
          </w:tcPr>
          <w:p w14:paraId="649F30A5" w14:textId="329AE4E7" w:rsidR="00291BE7" w:rsidRPr="003F70A1" w:rsidRDefault="00C01038" w:rsidP="00012463">
            <w:pPr>
              <w:ind w:firstLineChars="100" w:firstLine="160"/>
              <w:jc w:val="right"/>
              <w:rPr>
                <w:rFonts w:ascii="Arial" w:hAnsi="Arial" w:cs="Arial"/>
                <w:color w:val="000000"/>
                <w:sz w:val="16"/>
                <w:szCs w:val="16"/>
                <w:lang w:val="en-US"/>
              </w:rPr>
            </w:pPr>
            <w:r w:rsidRPr="003F70A1">
              <w:rPr>
                <w:rFonts w:ascii="Arial" w:hAnsi="Arial" w:cs="Arial"/>
                <w:color w:val="000000"/>
                <w:sz w:val="16"/>
                <w:szCs w:val="16"/>
                <w:lang w:val="en-US"/>
              </w:rPr>
              <w:t>0.</w:t>
            </w:r>
            <w:r w:rsidR="00D76689">
              <w:rPr>
                <w:rFonts w:ascii="Arial" w:hAnsi="Arial" w:cs="Arial"/>
                <w:color w:val="000000"/>
                <w:sz w:val="16"/>
                <w:szCs w:val="16"/>
                <w:lang w:val="en-US"/>
              </w:rPr>
              <w:t>28</w:t>
            </w:r>
          </w:p>
        </w:tc>
        <w:tc>
          <w:tcPr>
            <w:tcW w:w="952" w:type="dxa"/>
            <w:tcBorders>
              <w:top w:val="single" w:sz="4" w:space="0" w:color="auto"/>
              <w:left w:val="nil"/>
              <w:bottom w:val="single" w:sz="4" w:space="0" w:color="auto"/>
              <w:right w:val="nil"/>
            </w:tcBorders>
            <w:shd w:val="clear" w:color="auto" w:fill="auto"/>
            <w:noWrap/>
            <w:vAlign w:val="bottom"/>
          </w:tcPr>
          <w:p w14:paraId="4A1A0FC5" w14:textId="4913402E" w:rsidR="00291BE7" w:rsidRPr="003F70A1" w:rsidRDefault="004067BE" w:rsidP="00012463">
            <w:pPr>
              <w:jc w:val="right"/>
              <w:rPr>
                <w:rFonts w:ascii="Arial" w:hAnsi="Arial" w:cs="Arial"/>
                <w:color w:val="000000"/>
                <w:sz w:val="16"/>
                <w:szCs w:val="16"/>
                <w:lang w:val="en-US"/>
              </w:rPr>
            </w:pPr>
            <w:r w:rsidRPr="003F70A1">
              <w:rPr>
                <w:rFonts w:ascii="Arial" w:hAnsi="Arial" w:cs="Arial"/>
                <w:color w:val="000000"/>
                <w:sz w:val="16"/>
                <w:szCs w:val="16"/>
                <w:lang w:val="en-US"/>
              </w:rPr>
              <w:t>0.2</w:t>
            </w:r>
            <w:r w:rsidR="00D76689">
              <w:rPr>
                <w:rFonts w:ascii="Arial" w:hAnsi="Arial" w:cs="Arial"/>
                <w:color w:val="000000"/>
                <w:sz w:val="16"/>
                <w:szCs w:val="16"/>
                <w:lang w:val="en-US"/>
              </w:rPr>
              <w:t>1</w:t>
            </w:r>
          </w:p>
        </w:tc>
        <w:tc>
          <w:tcPr>
            <w:tcW w:w="993" w:type="dxa"/>
            <w:tcBorders>
              <w:top w:val="single" w:sz="4" w:space="0" w:color="auto"/>
              <w:left w:val="nil"/>
              <w:bottom w:val="single" w:sz="4" w:space="0" w:color="auto"/>
              <w:right w:val="nil"/>
            </w:tcBorders>
            <w:shd w:val="clear" w:color="auto" w:fill="auto"/>
            <w:vAlign w:val="bottom"/>
          </w:tcPr>
          <w:p w14:paraId="64DBCCA2" w14:textId="50B25F13" w:rsidR="00291BE7" w:rsidRPr="003F70A1" w:rsidRDefault="00D76689" w:rsidP="00012463">
            <w:pPr>
              <w:jc w:val="right"/>
              <w:rPr>
                <w:rFonts w:ascii="Arial" w:hAnsi="Arial" w:cs="Arial"/>
                <w:sz w:val="16"/>
                <w:szCs w:val="16"/>
                <w:lang w:val="en-US"/>
              </w:rPr>
            </w:pPr>
            <w:r>
              <w:rPr>
                <w:rFonts w:ascii="Arial" w:hAnsi="Arial" w:cs="Arial"/>
                <w:sz w:val="16"/>
                <w:szCs w:val="16"/>
                <w:lang w:val="en-US"/>
              </w:rPr>
              <w:t>-</w:t>
            </w:r>
          </w:p>
        </w:tc>
        <w:tc>
          <w:tcPr>
            <w:tcW w:w="1559" w:type="dxa"/>
            <w:tcBorders>
              <w:top w:val="single" w:sz="4" w:space="0" w:color="auto"/>
              <w:left w:val="nil"/>
              <w:bottom w:val="single" w:sz="4" w:space="0" w:color="auto"/>
              <w:right w:val="nil"/>
            </w:tcBorders>
            <w:shd w:val="clear" w:color="auto" w:fill="auto"/>
            <w:noWrap/>
            <w:vAlign w:val="bottom"/>
          </w:tcPr>
          <w:p w14:paraId="5F465B69" w14:textId="02967174" w:rsidR="00291BE7" w:rsidRPr="003F70A1" w:rsidRDefault="004067BE" w:rsidP="00012463">
            <w:pPr>
              <w:ind w:firstLineChars="100" w:firstLine="160"/>
              <w:jc w:val="right"/>
              <w:rPr>
                <w:rFonts w:ascii="Arial" w:hAnsi="Arial" w:cs="Arial"/>
                <w:color w:val="000000"/>
                <w:sz w:val="16"/>
                <w:szCs w:val="16"/>
                <w:lang w:val="en-US"/>
              </w:rPr>
            </w:pPr>
            <w:r w:rsidRPr="003F70A1">
              <w:rPr>
                <w:rFonts w:ascii="Arial" w:hAnsi="Arial" w:cs="Arial"/>
                <w:color w:val="000000"/>
                <w:sz w:val="16"/>
                <w:szCs w:val="16"/>
                <w:lang w:val="en-US"/>
              </w:rPr>
              <w:t>0.</w:t>
            </w:r>
            <w:r w:rsidR="00D76689">
              <w:rPr>
                <w:rFonts w:ascii="Arial" w:hAnsi="Arial" w:cs="Arial"/>
                <w:color w:val="000000"/>
                <w:sz w:val="16"/>
                <w:szCs w:val="16"/>
                <w:lang w:val="en-US"/>
              </w:rPr>
              <w:t>30</w:t>
            </w:r>
          </w:p>
        </w:tc>
        <w:tc>
          <w:tcPr>
            <w:tcW w:w="1276" w:type="dxa"/>
            <w:tcBorders>
              <w:top w:val="single" w:sz="4" w:space="0" w:color="auto"/>
              <w:left w:val="nil"/>
              <w:bottom w:val="single" w:sz="4" w:space="0" w:color="auto"/>
              <w:right w:val="nil"/>
            </w:tcBorders>
            <w:shd w:val="clear" w:color="auto" w:fill="auto"/>
            <w:noWrap/>
            <w:vAlign w:val="bottom"/>
          </w:tcPr>
          <w:p w14:paraId="292DAEF3" w14:textId="5357691C" w:rsidR="00291BE7" w:rsidRPr="004067BE" w:rsidRDefault="004067BE" w:rsidP="00012463">
            <w:pPr>
              <w:jc w:val="right"/>
              <w:rPr>
                <w:rFonts w:ascii="Arial" w:hAnsi="Arial" w:cs="Arial"/>
                <w:b/>
                <w:bCs/>
                <w:color w:val="000000"/>
                <w:sz w:val="16"/>
                <w:szCs w:val="16"/>
                <w:lang w:val="en-US"/>
              </w:rPr>
            </w:pPr>
            <w:r w:rsidRPr="003F70A1">
              <w:rPr>
                <w:rFonts w:ascii="Arial" w:hAnsi="Arial"/>
                <w:b/>
                <w:color w:val="000000"/>
                <w:sz w:val="16"/>
                <w:lang w:val="en-US"/>
              </w:rPr>
              <w:t>0.2</w:t>
            </w:r>
            <w:r w:rsidR="00D76689">
              <w:rPr>
                <w:rFonts w:ascii="Arial" w:hAnsi="Arial"/>
                <w:b/>
                <w:color w:val="000000"/>
                <w:sz w:val="16"/>
                <w:lang w:val="en-US"/>
              </w:rPr>
              <w:t>5</w:t>
            </w:r>
          </w:p>
        </w:tc>
      </w:tr>
    </w:tbl>
    <w:p w14:paraId="2C906E40" w14:textId="77777777" w:rsidR="005718EA" w:rsidRDefault="005718EA" w:rsidP="009B7B96">
      <w:pPr>
        <w:pStyle w:val="BodyText"/>
        <w:ind w:left="800" w:right="777"/>
        <w:jc w:val="both"/>
        <w:rPr>
          <w:rFonts w:ascii="Arial" w:hAnsi="Arial" w:cs="Arial"/>
          <w:b/>
          <w:bCs/>
        </w:rPr>
      </w:pPr>
    </w:p>
    <w:p w14:paraId="7BD70467" w14:textId="77777777" w:rsidR="0018650B" w:rsidRDefault="0018650B" w:rsidP="009B7B96">
      <w:pPr>
        <w:pStyle w:val="BodyText"/>
        <w:ind w:left="800" w:right="777"/>
        <w:jc w:val="both"/>
        <w:rPr>
          <w:rFonts w:ascii="Arial" w:hAnsi="Arial" w:cs="Arial"/>
          <w:b/>
          <w:bCs/>
        </w:rPr>
      </w:pPr>
    </w:p>
    <w:p w14:paraId="0A0D5A27" w14:textId="47D3B3E1" w:rsidR="009B7B96" w:rsidRPr="00F56223" w:rsidRDefault="009B7B96" w:rsidP="009B7B96">
      <w:pPr>
        <w:pStyle w:val="BodyText"/>
        <w:ind w:left="800" w:right="777"/>
        <w:jc w:val="both"/>
        <w:rPr>
          <w:rFonts w:ascii="Arial" w:hAnsi="Arial" w:cs="Arial"/>
        </w:rPr>
      </w:pPr>
      <w:r w:rsidRPr="00F56223">
        <w:rPr>
          <w:rFonts w:ascii="Arial" w:hAnsi="Arial" w:cs="Arial"/>
          <w:b/>
          <w:bCs/>
        </w:rPr>
        <w:t>The following table reflects the stock options outstanding as at December 31, 20</w:t>
      </w:r>
      <w:r w:rsidR="003D6DBD">
        <w:rPr>
          <w:rFonts w:ascii="Arial" w:hAnsi="Arial" w:cs="Arial"/>
          <w:b/>
          <w:bCs/>
        </w:rPr>
        <w:t>2</w:t>
      </w:r>
      <w:r w:rsidR="00D76689">
        <w:rPr>
          <w:rFonts w:ascii="Arial" w:hAnsi="Arial" w:cs="Arial"/>
          <w:b/>
          <w:bCs/>
        </w:rPr>
        <w:t>2</w:t>
      </w:r>
      <w:r w:rsidRPr="00F56223">
        <w:rPr>
          <w:rFonts w:ascii="Arial" w:hAnsi="Arial" w:cs="Arial"/>
          <w:b/>
          <w:bCs/>
        </w:rPr>
        <w:t>:</w:t>
      </w:r>
    </w:p>
    <w:p w14:paraId="055ADE43" w14:textId="77777777" w:rsidR="009B7B96" w:rsidRDefault="009B7B96" w:rsidP="00E1524C">
      <w:pPr>
        <w:pStyle w:val="BodyText"/>
        <w:ind w:right="777"/>
        <w:jc w:val="both"/>
        <w:rPr>
          <w:rFonts w:ascii="Arial" w:hAnsi="Arial" w:cs="Arial"/>
        </w:rPr>
      </w:pPr>
    </w:p>
    <w:tbl>
      <w:tblPr>
        <w:tblW w:w="8699" w:type="dxa"/>
        <w:tblInd w:w="799" w:type="dxa"/>
        <w:tblLayout w:type="fixed"/>
        <w:tblLook w:val="04A0" w:firstRow="1" w:lastRow="0" w:firstColumn="1" w:lastColumn="0" w:noHBand="0" w:noVBand="1"/>
      </w:tblPr>
      <w:tblGrid>
        <w:gridCol w:w="1832"/>
        <w:gridCol w:w="992"/>
        <w:gridCol w:w="1095"/>
        <w:gridCol w:w="952"/>
        <w:gridCol w:w="993"/>
        <w:gridCol w:w="1559"/>
        <w:gridCol w:w="1276"/>
      </w:tblGrid>
      <w:tr w:rsidR="00FE606F" w:rsidRPr="00B22CED" w14:paraId="5821AE08" w14:textId="77777777" w:rsidTr="002E65FB">
        <w:trPr>
          <w:trHeight w:val="871"/>
        </w:trPr>
        <w:tc>
          <w:tcPr>
            <w:tcW w:w="1832" w:type="dxa"/>
            <w:tcBorders>
              <w:top w:val="nil"/>
              <w:left w:val="nil"/>
              <w:bottom w:val="nil"/>
              <w:right w:val="nil"/>
            </w:tcBorders>
            <w:shd w:val="clear" w:color="auto" w:fill="auto"/>
            <w:hideMark/>
          </w:tcPr>
          <w:p w14:paraId="70E39AC5" w14:textId="77777777" w:rsidR="00FE606F" w:rsidRPr="00F56223" w:rsidRDefault="00FE606F" w:rsidP="00FE606F">
            <w:pPr>
              <w:pStyle w:val="TableParagraph"/>
              <w:spacing w:line="240" w:lineRule="auto"/>
              <w:jc w:val="left"/>
              <w:rPr>
                <w:rFonts w:ascii="Arial" w:hAnsi="Arial" w:cs="Arial"/>
                <w:sz w:val="18"/>
              </w:rPr>
            </w:pPr>
          </w:p>
          <w:p w14:paraId="30E16E84" w14:textId="66B57DD6" w:rsidR="00FE606F" w:rsidRPr="00B22CED" w:rsidRDefault="00FE606F" w:rsidP="00FE606F">
            <w:pPr>
              <w:rPr>
                <w:rFonts w:ascii="Arial" w:hAnsi="Arial" w:cs="Arial"/>
                <w:sz w:val="16"/>
                <w:szCs w:val="16"/>
                <w:lang w:val="en-US"/>
              </w:rPr>
            </w:pPr>
            <w:r w:rsidRPr="00F56223">
              <w:rPr>
                <w:rFonts w:ascii="Arial" w:hAnsi="Arial" w:cs="Arial"/>
                <w:b/>
                <w:sz w:val="16"/>
              </w:rPr>
              <w:t>Expiry Date</w:t>
            </w:r>
          </w:p>
        </w:tc>
        <w:tc>
          <w:tcPr>
            <w:tcW w:w="992" w:type="dxa"/>
            <w:tcBorders>
              <w:top w:val="nil"/>
              <w:left w:val="nil"/>
              <w:bottom w:val="nil"/>
              <w:right w:val="nil"/>
            </w:tcBorders>
            <w:shd w:val="clear" w:color="auto" w:fill="auto"/>
            <w:hideMark/>
          </w:tcPr>
          <w:p w14:paraId="535989B4" w14:textId="77777777" w:rsidR="00FE606F" w:rsidRPr="00B22CED" w:rsidRDefault="00FE606F" w:rsidP="00B44C6D">
            <w:pPr>
              <w:jc w:val="center"/>
              <w:rPr>
                <w:rFonts w:ascii="Arial" w:hAnsi="Arial" w:cs="Arial"/>
                <w:b/>
                <w:bCs/>
                <w:sz w:val="16"/>
                <w:szCs w:val="16"/>
                <w:lang w:val="en-US"/>
              </w:rPr>
            </w:pPr>
            <w:r w:rsidRPr="00B22CED">
              <w:rPr>
                <w:rFonts w:ascii="Arial" w:hAnsi="Arial" w:cs="Arial"/>
                <w:b/>
                <w:bCs/>
                <w:sz w:val="16"/>
                <w:szCs w:val="16"/>
                <w:lang w:val="en-US"/>
              </w:rPr>
              <w:t>Exercise Price</w:t>
            </w:r>
          </w:p>
        </w:tc>
        <w:tc>
          <w:tcPr>
            <w:tcW w:w="1095" w:type="dxa"/>
            <w:tcBorders>
              <w:top w:val="nil"/>
              <w:left w:val="nil"/>
              <w:bottom w:val="nil"/>
              <w:right w:val="nil"/>
            </w:tcBorders>
            <w:shd w:val="clear" w:color="auto" w:fill="auto"/>
            <w:hideMark/>
          </w:tcPr>
          <w:p w14:paraId="2D04B0BC" w14:textId="4F0AED33" w:rsidR="00FE606F" w:rsidRPr="00B22CED" w:rsidRDefault="00FE606F" w:rsidP="00B44C6D">
            <w:pPr>
              <w:jc w:val="center"/>
              <w:rPr>
                <w:rFonts w:ascii="Arial" w:hAnsi="Arial" w:cs="Arial"/>
                <w:b/>
                <w:bCs/>
                <w:sz w:val="16"/>
                <w:szCs w:val="16"/>
                <w:lang w:val="en-US"/>
              </w:rPr>
            </w:pPr>
            <w:r w:rsidRPr="00B22CED">
              <w:rPr>
                <w:rFonts w:ascii="Arial" w:hAnsi="Arial" w:cs="Arial"/>
                <w:b/>
                <w:bCs/>
                <w:sz w:val="16"/>
                <w:szCs w:val="16"/>
                <w:lang w:val="en-US"/>
              </w:rPr>
              <w:t>20</w:t>
            </w:r>
            <w:r w:rsidR="003D6DBD">
              <w:rPr>
                <w:rFonts w:ascii="Arial" w:hAnsi="Arial" w:cs="Arial"/>
                <w:b/>
                <w:bCs/>
                <w:sz w:val="16"/>
                <w:szCs w:val="16"/>
                <w:lang w:val="en-US"/>
              </w:rPr>
              <w:t>2</w:t>
            </w:r>
            <w:r w:rsidR="00D76689">
              <w:rPr>
                <w:rFonts w:ascii="Arial" w:hAnsi="Arial" w:cs="Arial"/>
                <w:b/>
                <w:bCs/>
                <w:sz w:val="16"/>
                <w:szCs w:val="16"/>
                <w:lang w:val="en-US"/>
              </w:rPr>
              <w:t>2</w:t>
            </w:r>
            <w:r w:rsidRPr="00B22CED">
              <w:rPr>
                <w:rFonts w:ascii="Arial" w:hAnsi="Arial" w:cs="Arial"/>
                <w:b/>
                <w:bCs/>
                <w:sz w:val="16"/>
                <w:szCs w:val="16"/>
                <w:lang w:val="en-US"/>
              </w:rPr>
              <w:br/>
              <w:t>Opening Balance</w:t>
            </w:r>
          </w:p>
        </w:tc>
        <w:tc>
          <w:tcPr>
            <w:tcW w:w="952" w:type="dxa"/>
            <w:tcBorders>
              <w:top w:val="nil"/>
              <w:left w:val="nil"/>
              <w:bottom w:val="nil"/>
              <w:right w:val="nil"/>
            </w:tcBorders>
            <w:shd w:val="clear" w:color="auto" w:fill="auto"/>
            <w:hideMark/>
          </w:tcPr>
          <w:p w14:paraId="27FCD6D1" w14:textId="77777777" w:rsidR="00FE606F" w:rsidRPr="00B22CED" w:rsidRDefault="00FE606F" w:rsidP="00B44C6D">
            <w:pPr>
              <w:jc w:val="center"/>
              <w:rPr>
                <w:rFonts w:ascii="Arial" w:hAnsi="Arial" w:cs="Arial"/>
                <w:b/>
                <w:bCs/>
                <w:sz w:val="16"/>
                <w:szCs w:val="16"/>
                <w:lang w:val="en-US"/>
              </w:rPr>
            </w:pPr>
            <w:r w:rsidRPr="00B22CED">
              <w:rPr>
                <w:rFonts w:ascii="Arial" w:hAnsi="Arial" w:cs="Arial"/>
                <w:b/>
                <w:bCs/>
                <w:sz w:val="16"/>
                <w:szCs w:val="16"/>
                <w:lang w:val="en-US"/>
              </w:rPr>
              <w:t>Granted</w:t>
            </w:r>
          </w:p>
        </w:tc>
        <w:tc>
          <w:tcPr>
            <w:tcW w:w="993" w:type="dxa"/>
            <w:tcBorders>
              <w:top w:val="nil"/>
              <w:left w:val="nil"/>
              <w:bottom w:val="nil"/>
              <w:right w:val="nil"/>
            </w:tcBorders>
            <w:shd w:val="clear" w:color="auto" w:fill="auto"/>
            <w:hideMark/>
          </w:tcPr>
          <w:p w14:paraId="29C9E472" w14:textId="77777777" w:rsidR="00FE606F" w:rsidRPr="00B22CED" w:rsidRDefault="00FE606F" w:rsidP="00B44C6D">
            <w:pPr>
              <w:jc w:val="center"/>
              <w:rPr>
                <w:rFonts w:ascii="Arial" w:hAnsi="Arial" w:cs="Arial"/>
                <w:b/>
                <w:bCs/>
                <w:sz w:val="16"/>
                <w:szCs w:val="16"/>
                <w:lang w:val="en-US"/>
              </w:rPr>
            </w:pPr>
            <w:r w:rsidRPr="00B22CED">
              <w:rPr>
                <w:rFonts w:ascii="Arial" w:hAnsi="Arial" w:cs="Arial"/>
                <w:b/>
                <w:bCs/>
                <w:sz w:val="16"/>
                <w:szCs w:val="16"/>
                <w:lang w:val="en-US"/>
              </w:rPr>
              <w:t>Exercised</w:t>
            </w:r>
          </w:p>
        </w:tc>
        <w:tc>
          <w:tcPr>
            <w:tcW w:w="1559" w:type="dxa"/>
            <w:tcBorders>
              <w:top w:val="nil"/>
              <w:left w:val="nil"/>
              <w:bottom w:val="nil"/>
              <w:right w:val="nil"/>
            </w:tcBorders>
            <w:shd w:val="clear" w:color="auto" w:fill="auto"/>
            <w:hideMark/>
          </w:tcPr>
          <w:p w14:paraId="414DBF0F" w14:textId="77777777" w:rsidR="00FE606F" w:rsidRPr="00B22CED" w:rsidRDefault="00FE606F" w:rsidP="00B44C6D">
            <w:pPr>
              <w:ind w:firstLineChars="100" w:firstLine="163"/>
              <w:jc w:val="center"/>
              <w:rPr>
                <w:rFonts w:ascii="Arial" w:hAnsi="Arial" w:cs="Arial"/>
                <w:b/>
                <w:bCs/>
                <w:sz w:val="16"/>
                <w:szCs w:val="16"/>
                <w:lang w:val="en-US"/>
              </w:rPr>
            </w:pPr>
            <w:r w:rsidRPr="00B22CED">
              <w:rPr>
                <w:rFonts w:ascii="Arial" w:hAnsi="Arial" w:cs="Arial"/>
                <w:b/>
                <w:bCs/>
                <w:sz w:val="16"/>
                <w:szCs w:val="16"/>
                <w:lang w:val="en-US"/>
              </w:rPr>
              <w:t>Expired/ Cancelled</w:t>
            </w:r>
          </w:p>
        </w:tc>
        <w:tc>
          <w:tcPr>
            <w:tcW w:w="1276" w:type="dxa"/>
            <w:tcBorders>
              <w:top w:val="nil"/>
              <w:left w:val="nil"/>
              <w:right w:val="nil"/>
            </w:tcBorders>
            <w:shd w:val="clear" w:color="auto" w:fill="auto"/>
            <w:hideMark/>
          </w:tcPr>
          <w:p w14:paraId="5EA76D87" w14:textId="71D32B8A" w:rsidR="00FE606F" w:rsidRPr="00B22CED" w:rsidRDefault="00FE606F" w:rsidP="00B44C6D">
            <w:pPr>
              <w:jc w:val="center"/>
              <w:rPr>
                <w:rFonts w:ascii="Arial" w:hAnsi="Arial" w:cs="Arial"/>
                <w:b/>
                <w:bCs/>
                <w:sz w:val="16"/>
                <w:szCs w:val="16"/>
                <w:lang w:val="en-US"/>
              </w:rPr>
            </w:pPr>
            <w:r w:rsidRPr="00B22CED">
              <w:rPr>
                <w:rFonts w:ascii="Arial" w:hAnsi="Arial" w:cs="Arial"/>
                <w:b/>
                <w:bCs/>
                <w:sz w:val="16"/>
                <w:szCs w:val="16"/>
                <w:lang w:val="en-US"/>
              </w:rPr>
              <w:t>20</w:t>
            </w:r>
            <w:r w:rsidR="003D6DBD">
              <w:rPr>
                <w:rFonts w:ascii="Arial" w:hAnsi="Arial" w:cs="Arial"/>
                <w:b/>
                <w:bCs/>
                <w:sz w:val="16"/>
                <w:szCs w:val="16"/>
                <w:lang w:val="en-US"/>
              </w:rPr>
              <w:t>2</w:t>
            </w:r>
            <w:r w:rsidR="00D76689">
              <w:rPr>
                <w:rFonts w:ascii="Arial" w:hAnsi="Arial" w:cs="Arial"/>
                <w:b/>
                <w:bCs/>
                <w:sz w:val="16"/>
                <w:szCs w:val="16"/>
                <w:lang w:val="en-US"/>
              </w:rPr>
              <w:t>2</w:t>
            </w:r>
            <w:r w:rsidRPr="00B22CED">
              <w:rPr>
                <w:rFonts w:ascii="Arial" w:hAnsi="Arial" w:cs="Arial"/>
                <w:b/>
                <w:bCs/>
                <w:sz w:val="16"/>
                <w:szCs w:val="16"/>
                <w:lang w:val="en-US"/>
              </w:rPr>
              <w:br/>
              <w:t>Closing Balance</w:t>
            </w:r>
          </w:p>
        </w:tc>
      </w:tr>
      <w:tr w:rsidR="00FE606F" w:rsidRPr="00B22CED" w14:paraId="483B9B27" w14:textId="77777777" w:rsidTr="002E65FB">
        <w:trPr>
          <w:trHeight w:val="245"/>
        </w:trPr>
        <w:tc>
          <w:tcPr>
            <w:tcW w:w="1832" w:type="dxa"/>
            <w:tcBorders>
              <w:top w:val="nil"/>
              <w:left w:val="nil"/>
              <w:bottom w:val="single" w:sz="4" w:space="0" w:color="000000"/>
              <w:right w:val="nil"/>
            </w:tcBorders>
            <w:shd w:val="clear" w:color="auto" w:fill="auto"/>
            <w:hideMark/>
          </w:tcPr>
          <w:p w14:paraId="1F1E4884" w14:textId="5BA967C3" w:rsidR="00FE606F" w:rsidRPr="00B22CED" w:rsidRDefault="00FE606F" w:rsidP="00FE606F">
            <w:pPr>
              <w:rPr>
                <w:color w:val="000000"/>
                <w:sz w:val="20"/>
                <w:szCs w:val="20"/>
                <w:lang w:val="en-US"/>
              </w:rPr>
            </w:pPr>
          </w:p>
        </w:tc>
        <w:tc>
          <w:tcPr>
            <w:tcW w:w="992" w:type="dxa"/>
            <w:tcBorders>
              <w:top w:val="nil"/>
              <w:left w:val="nil"/>
              <w:bottom w:val="single" w:sz="4" w:space="0" w:color="000000"/>
              <w:right w:val="nil"/>
            </w:tcBorders>
            <w:shd w:val="clear" w:color="auto" w:fill="auto"/>
            <w:hideMark/>
          </w:tcPr>
          <w:p w14:paraId="67D0C119" w14:textId="77777777" w:rsidR="00FE606F" w:rsidRPr="00B22CED" w:rsidRDefault="00FE606F" w:rsidP="00FE606F">
            <w:pPr>
              <w:jc w:val="center"/>
              <w:rPr>
                <w:rFonts w:ascii="Arial" w:hAnsi="Arial" w:cs="Arial"/>
                <w:b/>
                <w:bCs/>
                <w:sz w:val="16"/>
                <w:szCs w:val="16"/>
                <w:lang w:val="en-US"/>
              </w:rPr>
            </w:pPr>
            <w:r w:rsidRPr="00B22CED">
              <w:rPr>
                <w:rFonts w:ascii="Arial" w:hAnsi="Arial" w:cs="Arial"/>
                <w:b/>
                <w:bCs/>
                <w:sz w:val="16"/>
                <w:szCs w:val="16"/>
                <w:lang w:val="en-US"/>
              </w:rPr>
              <w:t>$</w:t>
            </w:r>
          </w:p>
        </w:tc>
        <w:tc>
          <w:tcPr>
            <w:tcW w:w="1095" w:type="dxa"/>
            <w:tcBorders>
              <w:top w:val="nil"/>
              <w:left w:val="nil"/>
              <w:bottom w:val="single" w:sz="4" w:space="0" w:color="000000"/>
              <w:right w:val="nil"/>
            </w:tcBorders>
            <w:shd w:val="clear" w:color="auto" w:fill="auto"/>
            <w:hideMark/>
          </w:tcPr>
          <w:p w14:paraId="4E8CD16B" w14:textId="77777777" w:rsidR="00FE606F" w:rsidRPr="00B22CED" w:rsidRDefault="00FE606F" w:rsidP="00FE606F">
            <w:pPr>
              <w:jc w:val="center"/>
              <w:rPr>
                <w:rFonts w:ascii="Arial" w:hAnsi="Arial" w:cs="Arial"/>
                <w:b/>
                <w:bCs/>
                <w:sz w:val="16"/>
                <w:szCs w:val="16"/>
                <w:lang w:val="en-US"/>
              </w:rPr>
            </w:pPr>
            <w:r w:rsidRPr="00B22CED">
              <w:rPr>
                <w:rFonts w:ascii="Arial" w:hAnsi="Arial" w:cs="Arial"/>
                <w:b/>
                <w:bCs/>
                <w:sz w:val="16"/>
                <w:szCs w:val="16"/>
                <w:lang w:val="en-US"/>
              </w:rPr>
              <w:t>#</w:t>
            </w:r>
          </w:p>
        </w:tc>
        <w:tc>
          <w:tcPr>
            <w:tcW w:w="952" w:type="dxa"/>
            <w:tcBorders>
              <w:top w:val="nil"/>
              <w:left w:val="nil"/>
              <w:bottom w:val="single" w:sz="4" w:space="0" w:color="000000"/>
              <w:right w:val="nil"/>
            </w:tcBorders>
            <w:shd w:val="clear" w:color="auto" w:fill="auto"/>
            <w:hideMark/>
          </w:tcPr>
          <w:p w14:paraId="0B4AE0F2" w14:textId="77777777" w:rsidR="00FE606F" w:rsidRPr="00B22CED" w:rsidRDefault="00FE606F" w:rsidP="00FE606F">
            <w:pPr>
              <w:jc w:val="center"/>
              <w:rPr>
                <w:rFonts w:ascii="Arial" w:hAnsi="Arial" w:cs="Arial"/>
                <w:b/>
                <w:bCs/>
                <w:sz w:val="16"/>
                <w:szCs w:val="16"/>
                <w:lang w:val="en-US"/>
              </w:rPr>
            </w:pPr>
            <w:r w:rsidRPr="00B22CED">
              <w:rPr>
                <w:rFonts w:ascii="Arial" w:hAnsi="Arial" w:cs="Arial"/>
                <w:b/>
                <w:bCs/>
                <w:sz w:val="16"/>
                <w:szCs w:val="16"/>
                <w:lang w:val="en-US"/>
              </w:rPr>
              <w:t>#</w:t>
            </w:r>
          </w:p>
        </w:tc>
        <w:tc>
          <w:tcPr>
            <w:tcW w:w="993" w:type="dxa"/>
            <w:tcBorders>
              <w:top w:val="nil"/>
              <w:left w:val="nil"/>
              <w:bottom w:val="single" w:sz="4" w:space="0" w:color="000000"/>
              <w:right w:val="nil"/>
            </w:tcBorders>
            <w:shd w:val="clear" w:color="auto" w:fill="auto"/>
            <w:hideMark/>
          </w:tcPr>
          <w:p w14:paraId="52A46D0B" w14:textId="77777777" w:rsidR="00FE606F" w:rsidRPr="00B22CED" w:rsidRDefault="00FE606F" w:rsidP="00FE606F">
            <w:pPr>
              <w:jc w:val="center"/>
              <w:rPr>
                <w:rFonts w:ascii="Arial" w:hAnsi="Arial" w:cs="Arial"/>
                <w:b/>
                <w:bCs/>
                <w:sz w:val="16"/>
                <w:szCs w:val="16"/>
                <w:lang w:val="en-US"/>
              </w:rPr>
            </w:pPr>
            <w:r w:rsidRPr="00B22CED">
              <w:rPr>
                <w:rFonts w:ascii="Arial" w:hAnsi="Arial" w:cs="Arial"/>
                <w:b/>
                <w:bCs/>
                <w:sz w:val="16"/>
                <w:szCs w:val="16"/>
                <w:lang w:val="en-US"/>
              </w:rPr>
              <w:t>#</w:t>
            </w:r>
          </w:p>
        </w:tc>
        <w:tc>
          <w:tcPr>
            <w:tcW w:w="1559" w:type="dxa"/>
            <w:tcBorders>
              <w:top w:val="nil"/>
              <w:left w:val="nil"/>
              <w:bottom w:val="single" w:sz="4" w:space="0" w:color="000000"/>
              <w:right w:val="nil"/>
            </w:tcBorders>
            <w:shd w:val="clear" w:color="auto" w:fill="auto"/>
            <w:hideMark/>
          </w:tcPr>
          <w:p w14:paraId="08F823A1" w14:textId="77777777" w:rsidR="00FE606F" w:rsidRPr="00B22CED" w:rsidRDefault="00FE606F" w:rsidP="00FE606F">
            <w:pPr>
              <w:ind w:firstLineChars="300" w:firstLine="489"/>
              <w:rPr>
                <w:rFonts w:ascii="Arial" w:hAnsi="Arial" w:cs="Arial"/>
                <w:b/>
                <w:bCs/>
                <w:sz w:val="16"/>
                <w:szCs w:val="16"/>
                <w:lang w:val="en-US"/>
              </w:rPr>
            </w:pPr>
            <w:r w:rsidRPr="00B22CED">
              <w:rPr>
                <w:rFonts w:ascii="Arial" w:hAnsi="Arial" w:cs="Arial"/>
                <w:b/>
                <w:bCs/>
                <w:sz w:val="16"/>
                <w:szCs w:val="16"/>
                <w:lang w:val="en-US"/>
              </w:rPr>
              <w:t>#</w:t>
            </w:r>
          </w:p>
        </w:tc>
        <w:tc>
          <w:tcPr>
            <w:tcW w:w="1276" w:type="dxa"/>
            <w:tcBorders>
              <w:top w:val="nil"/>
              <w:left w:val="nil"/>
              <w:bottom w:val="single" w:sz="4" w:space="0" w:color="auto"/>
              <w:right w:val="nil"/>
            </w:tcBorders>
            <w:shd w:val="clear" w:color="auto" w:fill="auto"/>
            <w:hideMark/>
          </w:tcPr>
          <w:p w14:paraId="327B88CB" w14:textId="77777777" w:rsidR="00FE606F" w:rsidRPr="00B22CED" w:rsidRDefault="00FE606F" w:rsidP="00FE606F">
            <w:pPr>
              <w:ind w:firstLineChars="200" w:firstLine="326"/>
              <w:rPr>
                <w:rFonts w:ascii="Arial" w:hAnsi="Arial" w:cs="Arial"/>
                <w:b/>
                <w:bCs/>
                <w:sz w:val="16"/>
                <w:szCs w:val="16"/>
                <w:lang w:val="en-US"/>
              </w:rPr>
            </w:pPr>
            <w:r w:rsidRPr="00B22CED">
              <w:rPr>
                <w:rFonts w:ascii="Arial" w:hAnsi="Arial" w:cs="Arial"/>
                <w:b/>
                <w:bCs/>
                <w:sz w:val="16"/>
                <w:szCs w:val="16"/>
                <w:lang w:val="en-US"/>
              </w:rPr>
              <w:t>#</w:t>
            </w:r>
          </w:p>
        </w:tc>
      </w:tr>
      <w:tr w:rsidR="00D76689" w:rsidRPr="00B22CED" w14:paraId="42EF3945" w14:textId="77777777" w:rsidTr="0033725E">
        <w:trPr>
          <w:trHeight w:hRule="exact" w:val="170"/>
        </w:trPr>
        <w:tc>
          <w:tcPr>
            <w:tcW w:w="1832" w:type="dxa"/>
            <w:tcBorders>
              <w:top w:val="nil"/>
              <w:left w:val="nil"/>
              <w:bottom w:val="nil"/>
              <w:right w:val="nil"/>
            </w:tcBorders>
            <w:shd w:val="clear" w:color="auto" w:fill="auto"/>
            <w:vAlign w:val="center"/>
          </w:tcPr>
          <w:p w14:paraId="585B1926" w14:textId="07845185" w:rsidR="00D76689" w:rsidRPr="00F56223" w:rsidRDefault="00D76689" w:rsidP="00D76689">
            <w:pPr>
              <w:rPr>
                <w:rFonts w:ascii="Arial" w:hAnsi="Arial" w:cs="Arial"/>
                <w:sz w:val="16"/>
              </w:rPr>
            </w:pPr>
            <w:r w:rsidRPr="003F70A1">
              <w:rPr>
                <w:rFonts w:ascii="Arial" w:hAnsi="Arial" w:cs="Arial"/>
                <w:sz w:val="16"/>
                <w:szCs w:val="16"/>
              </w:rPr>
              <w:t>March 09, 2022</w:t>
            </w:r>
          </w:p>
        </w:tc>
        <w:tc>
          <w:tcPr>
            <w:tcW w:w="992" w:type="dxa"/>
            <w:tcBorders>
              <w:top w:val="nil"/>
              <w:left w:val="nil"/>
              <w:bottom w:val="nil"/>
              <w:right w:val="nil"/>
            </w:tcBorders>
            <w:shd w:val="clear" w:color="auto" w:fill="auto"/>
            <w:noWrap/>
            <w:vAlign w:val="center"/>
          </w:tcPr>
          <w:p w14:paraId="39E0BD0B" w14:textId="51A54A0D" w:rsidR="00D76689" w:rsidRDefault="00D76689" w:rsidP="00D76689">
            <w:pPr>
              <w:ind w:firstLineChars="100" w:firstLine="160"/>
              <w:jc w:val="right"/>
              <w:rPr>
                <w:rFonts w:ascii="Arial" w:hAnsi="Arial" w:cs="Arial"/>
                <w:color w:val="000000"/>
                <w:sz w:val="16"/>
                <w:szCs w:val="16"/>
                <w:lang w:val="en-US"/>
              </w:rPr>
            </w:pPr>
            <w:r w:rsidRPr="003F70A1">
              <w:rPr>
                <w:rFonts w:ascii="Arial" w:hAnsi="Arial" w:cs="Arial"/>
                <w:color w:val="000000"/>
                <w:sz w:val="16"/>
                <w:szCs w:val="16"/>
              </w:rPr>
              <w:t>0.75</w:t>
            </w:r>
          </w:p>
        </w:tc>
        <w:tc>
          <w:tcPr>
            <w:tcW w:w="1095" w:type="dxa"/>
            <w:tcBorders>
              <w:top w:val="nil"/>
              <w:left w:val="nil"/>
              <w:bottom w:val="nil"/>
              <w:right w:val="nil"/>
            </w:tcBorders>
            <w:shd w:val="clear" w:color="auto" w:fill="auto"/>
            <w:noWrap/>
            <w:vAlign w:val="center"/>
          </w:tcPr>
          <w:p w14:paraId="7DC13199" w14:textId="78FD29F3" w:rsidR="00D76689" w:rsidRDefault="00D76689" w:rsidP="00D76689">
            <w:pPr>
              <w:jc w:val="right"/>
              <w:rPr>
                <w:rFonts w:ascii="Arial" w:hAnsi="Arial" w:cs="Arial"/>
                <w:color w:val="000000"/>
                <w:sz w:val="16"/>
                <w:szCs w:val="16"/>
                <w:lang w:val="en-US"/>
              </w:rPr>
            </w:pPr>
            <w:r w:rsidRPr="003F70A1">
              <w:rPr>
                <w:rFonts w:ascii="Arial" w:hAnsi="Arial" w:cs="Arial"/>
                <w:color w:val="000000"/>
                <w:sz w:val="16"/>
                <w:szCs w:val="16"/>
              </w:rPr>
              <w:t xml:space="preserve">1,000,000 </w:t>
            </w:r>
          </w:p>
        </w:tc>
        <w:tc>
          <w:tcPr>
            <w:tcW w:w="952" w:type="dxa"/>
            <w:tcBorders>
              <w:top w:val="nil"/>
              <w:left w:val="nil"/>
              <w:bottom w:val="nil"/>
              <w:right w:val="nil"/>
            </w:tcBorders>
            <w:shd w:val="clear" w:color="auto" w:fill="auto"/>
          </w:tcPr>
          <w:p w14:paraId="7798BC48" w14:textId="4C7D4E97" w:rsidR="00D76689" w:rsidRPr="00B22CED" w:rsidRDefault="00D76689" w:rsidP="00D76689">
            <w:pPr>
              <w:jc w:val="right"/>
              <w:rPr>
                <w:rFonts w:ascii="Arial" w:hAnsi="Arial" w:cs="Arial"/>
                <w:sz w:val="16"/>
                <w:szCs w:val="16"/>
                <w:lang w:val="en-US"/>
              </w:rPr>
            </w:pPr>
            <w:r w:rsidRPr="003F70A1">
              <w:rPr>
                <w:rFonts w:ascii="Arial" w:hAnsi="Arial" w:cs="Arial"/>
                <w:sz w:val="16"/>
                <w:szCs w:val="16"/>
                <w:lang w:val="en-US"/>
              </w:rPr>
              <w:t>-</w:t>
            </w:r>
          </w:p>
        </w:tc>
        <w:tc>
          <w:tcPr>
            <w:tcW w:w="993" w:type="dxa"/>
            <w:tcBorders>
              <w:top w:val="nil"/>
              <w:left w:val="nil"/>
              <w:bottom w:val="nil"/>
              <w:right w:val="nil"/>
            </w:tcBorders>
            <w:shd w:val="clear" w:color="auto" w:fill="auto"/>
          </w:tcPr>
          <w:p w14:paraId="397C002E" w14:textId="7C8F804F" w:rsidR="00D76689" w:rsidRPr="00B22CED" w:rsidRDefault="00D76689" w:rsidP="00D76689">
            <w:pPr>
              <w:jc w:val="right"/>
              <w:rPr>
                <w:rFonts w:ascii="Arial" w:hAnsi="Arial" w:cs="Arial"/>
                <w:sz w:val="16"/>
                <w:szCs w:val="16"/>
                <w:lang w:val="en-US"/>
              </w:rPr>
            </w:pPr>
            <w:r w:rsidRPr="003F70A1">
              <w:rPr>
                <w:rFonts w:ascii="Arial" w:hAnsi="Arial" w:cs="Arial"/>
                <w:sz w:val="16"/>
                <w:szCs w:val="16"/>
                <w:lang w:val="en-US"/>
              </w:rPr>
              <w:t>-</w:t>
            </w:r>
          </w:p>
        </w:tc>
        <w:tc>
          <w:tcPr>
            <w:tcW w:w="1559" w:type="dxa"/>
            <w:tcBorders>
              <w:top w:val="nil"/>
              <w:left w:val="nil"/>
              <w:bottom w:val="nil"/>
              <w:right w:val="nil"/>
            </w:tcBorders>
            <w:shd w:val="clear" w:color="auto" w:fill="auto"/>
          </w:tcPr>
          <w:p w14:paraId="651FBF72" w14:textId="60B1B2D6" w:rsidR="00D76689" w:rsidRDefault="00D76689" w:rsidP="00D76689">
            <w:pPr>
              <w:ind w:firstLineChars="100" w:firstLine="160"/>
              <w:jc w:val="right"/>
              <w:rPr>
                <w:rFonts w:ascii="Arial" w:hAnsi="Arial" w:cs="Arial"/>
                <w:sz w:val="16"/>
                <w:szCs w:val="16"/>
                <w:lang w:val="en-US"/>
              </w:rPr>
            </w:pPr>
            <w:r w:rsidRPr="003F70A1">
              <w:rPr>
                <w:rFonts w:ascii="Arial" w:hAnsi="Arial" w:cs="Arial"/>
                <w:sz w:val="16"/>
                <w:szCs w:val="16"/>
                <w:lang w:val="en-US"/>
              </w:rPr>
              <w:t>(1,000,000)</w:t>
            </w:r>
          </w:p>
        </w:tc>
        <w:tc>
          <w:tcPr>
            <w:tcW w:w="1276" w:type="dxa"/>
            <w:tcBorders>
              <w:top w:val="single" w:sz="4" w:space="0" w:color="auto"/>
              <w:left w:val="nil"/>
              <w:bottom w:val="nil"/>
              <w:right w:val="nil"/>
            </w:tcBorders>
            <w:shd w:val="clear" w:color="auto" w:fill="auto"/>
            <w:noWrap/>
          </w:tcPr>
          <w:p w14:paraId="0E007759" w14:textId="11F447E5" w:rsidR="00D76689" w:rsidRPr="00B22CED" w:rsidRDefault="00D76689" w:rsidP="00D76689">
            <w:pPr>
              <w:jc w:val="right"/>
              <w:rPr>
                <w:rFonts w:ascii="Arial" w:hAnsi="Arial" w:cs="Arial"/>
                <w:b/>
                <w:bCs/>
                <w:color w:val="000000"/>
                <w:sz w:val="16"/>
                <w:szCs w:val="16"/>
                <w:lang w:val="en-US"/>
              </w:rPr>
            </w:pPr>
            <w:r w:rsidRPr="003F70A1">
              <w:rPr>
                <w:rFonts w:ascii="Arial" w:hAnsi="Arial" w:cs="Arial"/>
                <w:b/>
                <w:bCs/>
                <w:color w:val="000000"/>
                <w:sz w:val="16"/>
                <w:szCs w:val="16"/>
                <w:lang w:val="en-US"/>
              </w:rPr>
              <w:t>-</w:t>
            </w:r>
          </w:p>
        </w:tc>
      </w:tr>
      <w:tr w:rsidR="00D76689" w:rsidRPr="00B22CED" w14:paraId="14589747" w14:textId="77777777" w:rsidTr="0033725E">
        <w:trPr>
          <w:trHeight w:hRule="exact" w:val="170"/>
        </w:trPr>
        <w:tc>
          <w:tcPr>
            <w:tcW w:w="1832" w:type="dxa"/>
            <w:tcBorders>
              <w:top w:val="nil"/>
              <w:left w:val="nil"/>
              <w:bottom w:val="nil"/>
              <w:right w:val="nil"/>
            </w:tcBorders>
            <w:shd w:val="clear" w:color="auto" w:fill="auto"/>
            <w:hideMark/>
          </w:tcPr>
          <w:p w14:paraId="790EA9F7" w14:textId="61D86FF8" w:rsidR="00D76689" w:rsidRPr="00B22CED" w:rsidRDefault="00D76689" w:rsidP="00D76689">
            <w:pPr>
              <w:rPr>
                <w:rFonts w:ascii="Arial" w:hAnsi="Arial" w:cs="Arial"/>
                <w:sz w:val="16"/>
                <w:szCs w:val="16"/>
                <w:lang w:val="en-US"/>
              </w:rPr>
            </w:pPr>
            <w:r w:rsidRPr="003F70A1">
              <w:rPr>
                <w:rFonts w:ascii="Arial" w:hAnsi="Arial" w:cs="Arial"/>
                <w:sz w:val="16"/>
                <w:szCs w:val="16"/>
              </w:rPr>
              <w:t>July 20, 2022</w:t>
            </w:r>
          </w:p>
        </w:tc>
        <w:tc>
          <w:tcPr>
            <w:tcW w:w="992" w:type="dxa"/>
            <w:tcBorders>
              <w:top w:val="nil"/>
              <w:left w:val="nil"/>
              <w:bottom w:val="nil"/>
              <w:right w:val="nil"/>
            </w:tcBorders>
            <w:shd w:val="clear" w:color="auto" w:fill="auto"/>
            <w:noWrap/>
            <w:hideMark/>
          </w:tcPr>
          <w:p w14:paraId="429B57D9" w14:textId="5AAC5296" w:rsidR="00D76689" w:rsidRPr="00B22CED" w:rsidRDefault="00D76689" w:rsidP="00D76689">
            <w:pPr>
              <w:ind w:firstLineChars="100" w:firstLine="160"/>
              <w:jc w:val="right"/>
              <w:rPr>
                <w:rFonts w:ascii="Arial" w:hAnsi="Arial" w:cs="Arial"/>
                <w:color w:val="000000"/>
                <w:sz w:val="16"/>
                <w:szCs w:val="16"/>
                <w:lang w:val="en-US"/>
              </w:rPr>
            </w:pPr>
            <w:r w:rsidRPr="003F70A1">
              <w:rPr>
                <w:rFonts w:ascii="Arial" w:hAnsi="Arial" w:cs="Arial"/>
                <w:color w:val="000000"/>
                <w:sz w:val="16"/>
                <w:szCs w:val="16"/>
              </w:rPr>
              <w:t>0.14</w:t>
            </w:r>
          </w:p>
        </w:tc>
        <w:tc>
          <w:tcPr>
            <w:tcW w:w="1095" w:type="dxa"/>
            <w:tcBorders>
              <w:top w:val="nil"/>
              <w:left w:val="nil"/>
              <w:bottom w:val="nil"/>
              <w:right w:val="nil"/>
            </w:tcBorders>
            <w:shd w:val="clear" w:color="auto" w:fill="auto"/>
            <w:noWrap/>
            <w:vAlign w:val="center"/>
            <w:hideMark/>
          </w:tcPr>
          <w:p w14:paraId="5C86080E" w14:textId="4C65DE40" w:rsidR="00D76689" w:rsidRPr="00B22CED" w:rsidRDefault="00D76689" w:rsidP="00D76689">
            <w:pPr>
              <w:jc w:val="right"/>
              <w:rPr>
                <w:rFonts w:ascii="Arial" w:hAnsi="Arial" w:cs="Arial"/>
                <w:color w:val="000000"/>
                <w:sz w:val="16"/>
                <w:szCs w:val="16"/>
                <w:lang w:val="en-US"/>
              </w:rPr>
            </w:pPr>
            <w:r w:rsidRPr="003F70A1">
              <w:rPr>
                <w:rFonts w:ascii="Arial" w:hAnsi="Arial" w:cs="Arial"/>
                <w:color w:val="000000"/>
                <w:sz w:val="16"/>
                <w:szCs w:val="16"/>
              </w:rPr>
              <w:t xml:space="preserve">690,000 </w:t>
            </w:r>
          </w:p>
        </w:tc>
        <w:tc>
          <w:tcPr>
            <w:tcW w:w="952" w:type="dxa"/>
            <w:tcBorders>
              <w:top w:val="nil"/>
              <w:left w:val="nil"/>
              <w:bottom w:val="nil"/>
              <w:right w:val="nil"/>
            </w:tcBorders>
            <w:shd w:val="clear" w:color="auto" w:fill="auto"/>
            <w:hideMark/>
          </w:tcPr>
          <w:p w14:paraId="1CEFF454" w14:textId="1A20BC0E" w:rsidR="00D76689" w:rsidRPr="00B22CED" w:rsidRDefault="00D76689" w:rsidP="00D76689">
            <w:pPr>
              <w:jc w:val="right"/>
              <w:rPr>
                <w:rFonts w:ascii="Arial" w:hAnsi="Arial" w:cs="Arial"/>
                <w:sz w:val="16"/>
                <w:szCs w:val="16"/>
                <w:lang w:val="en-US"/>
              </w:rPr>
            </w:pPr>
            <w:r w:rsidRPr="003F70A1">
              <w:rPr>
                <w:rFonts w:ascii="Arial" w:hAnsi="Arial" w:cs="Arial"/>
                <w:sz w:val="16"/>
                <w:szCs w:val="16"/>
                <w:lang w:val="en-US"/>
              </w:rPr>
              <w:t>-</w:t>
            </w:r>
          </w:p>
        </w:tc>
        <w:tc>
          <w:tcPr>
            <w:tcW w:w="993" w:type="dxa"/>
            <w:tcBorders>
              <w:top w:val="nil"/>
              <w:left w:val="nil"/>
              <w:bottom w:val="nil"/>
              <w:right w:val="nil"/>
            </w:tcBorders>
            <w:shd w:val="clear" w:color="auto" w:fill="auto"/>
            <w:hideMark/>
          </w:tcPr>
          <w:p w14:paraId="3C7CFBEE" w14:textId="1746BB96" w:rsidR="00D76689" w:rsidRPr="00B22CED" w:rsidRDefault="00D76689" w:rsidP="00D76689">
            <w:pPr>
              <w:jc w:val="right"/>
              <w:rPr>
                <w:rFonts w:ascii="Arial" w:hAnsi="Arial" w:cs="Arial"/>
                <w:sz w:val="16"/>
                <w:szCs w:val="16"/>
                <w:lang w:val="en-US"/>
              </w:rPr>
            </w:pPr>
            <w:r w:rsidRPr="003F70A1">
              <w:rPr>
                <w:rFonts w:ascii="Arial" w:hAnsi="Arial" w:cs="Arial"/>
                <w:sz w:val="16"/>
                <w:szCs w:val="16"/>
                <w:lang w:val="en-US"/>
              </w:rPr>
              <w:t>(690,000)</w:t>
            </w:r>
          </w:p>
        </w:tc>
        <w:tc>
          <w:tcPr>
            <w:tcW w:w="1559" w:type="dxa"/>
            <w:tcBorders>
              <w:top w:val="nil"/>
              <w:left w:val="nil"/>
              <w:bottom w:val="nil"/>
              <w:right w:val="nil"/>
            </w:tcBorders>
            <w:shd w:val="clear" w:color="auto" w:fill="auto"/>
            <w:hideMark/>
          </w:tcPr>
          <w:p w14:paraId="21D9A2E5" w14:textId="35A08C59" w:rsidR="00D76689" w:rsidRPr="00B22CED" w:rsidRDefault="00D76689" w:rsidP="00D76689">
            <w:pPr>
              <w:ind w:firstLineChars="100" w:firstLine="160"/>
              <w:jc w:val="right"/>
              <w:rPr>
                <w:rFonts w:ascii="Arial" w:hAnsi="Arial" w:cs="Arial"/>
                <w:sz w:val="16"/>
                <w:szCs w:val="16"/>
                <w:lang w:val="en-US"/>
              </w:rPr>
            </w:pPr>
            <w:r w:rsidRPr="003F70A1">
              <w:rPr>
                <w:rFonts w:ascii="Arial" w:hAnsi="Arial" w:cs="Arial"/>
                <w:color w:val="000000"/>
                <w:sz w:val="16"/>
                <w:szCs w:val="16"/>
                <w:lang w:val="en-US"/>
              </w:rPr>
              <w:t>-</w:t>
            </w:r>
          </w:p>
        </w:tc>
        <w:tc>
          <w:tcPr>
            <w:tcW w:w="1276" w:type="dxa"/>
            <w:tcBorders>
              <w:left w:val="nil"/>
              <w:bottom w:val="nil"/>
              <w:right w:val="nil"/>
            </w:tcBorders>
            <w:shd w:val="clear" w:color="auto" w:fill="auto"/>
            <w:noWrap/>
            <w:hideMark/>
          </w:tcPr>
          <w:p w14:paraId="354ADEF8" w14:textId="6E5CF76E" w:rsidR="00D76689" w:rsidRPr="00B22CED" w:rsidRDefault="00D76689" w:rsidP="00D76689">
            <w:pPr>
              <w:jc w:val="right"/>
              <w:rPr>
                <w:rFonts w:ascii="Arial" w:hAnsi="Arial" w:cs="Arial"/>
                <w:b/>
                <w:bCs/>
                <w:color w:val="000000"/>
                <w:sz w:val="16"/>
                <w:szCs w:val="16"/>
                <w:lang w:val="en-US"/>
              </w:rPr>
            </w:pPr>
            <w:r w:rsidRPr="003F70A1">
              <w:rPr>
                <w:rFonts w:ascii="Arial" w:hAnsi="Arial" w:cs="Arial"/>
                <w:b/>
                <w:bCs/>
                <w:color w:val="000000"/>
                <w:sz w:val="16"/>
                <w:szCs w:val="16"/>
                <w:lang w:val="en-US"/>
              </w:rPr>
              <w:t>-</w:t>
            </w:r>
          </w:p>
        </w:tc>
      </w:tr>
      <w:tr w:rsidR="00D76689" w:rsidRPr="00B22CED" w14:paraId="63574ECE" w14:textId="77777777" w:rsidTr="0033725E">
        <w:trPr>
          <w:trHeight w:hRule="exact" w:val="170"/>
        </w:trPr>
        <w:tc>
          <w:tcPr>
            <w:tcW w:w="1832" w:type="dxa"/>
            <w:tcBorders>
              <w:top w:val="nil"/>
              <w:left w:val="nil"/>
              <w:bottom w:val="nil"/>
              <w:right w:val="nil"/>
            </w:tcBorders>
            <w:shd w:val="clear" w:color="auto" w:fill="auto"/>
            <w:hideMark/>
          </w:tcPr>
          <w:p w14:paraId="217096E8" w14:textId="62C74ED6" w:rsidR="00D76689" w:rsidRPr="00B22CED" w:rsidRDefault="00D76689" w:rsidP="00D76689">
            <w:pPr>
              <w:rPr>
                <w:rFonts w:ascii="Arial" w:hAnsi="Arial" w:cs="Arial"/>
                <w:sz w:val="16"/>
                <w:szCs w:val="16"/>
                <w:lang w:val="en-US"/>
              </w:rPr>
            </w:pPr>
            <w:r w:rsidRPr="003F70A1">
              <w:rPr>
                <w:rFonts w:ascii="Arial" w:hAnsi="Arial" w:cs="Arial"/>
                <w:sz w:val="16"/>
                <w:szCs w:val="16"/>
              </w:rPr>
              <w:t>December 29, 2022</w:t>
            </w:r>
          </w:p>
        </w:tc>
        <w:tc>
          <w:tcPr>
            <w:tcW w:w="992" w:type="dxa"/>
            <w:tcBorders>
              <w:top w:val="nil"/>
              <w:left w:val="nil"/>
              <w:bottom w:val="nil"/>
              <w:right w:val="nil"/>
            </w:tcBorders>
            <w:shd w:val="clear" w:color="auto" w:fill="auto"/>
            <w:noWrap/>
            <w:hideMark/>
          </w:tcPr>
          <w:p w14:paraId="775A087C" w14:textId="0E8A9336" w:rsidR="00D76689" w:rsidRPr="00B22CED" w:rsidRDefault="00D76689" w:rsidP="00D76689">
            <w:pPr>
              <w:ind w:firstLineChars="100" w:firstLine="160"/>
              <w:jc w:val="right"/>
              <w:rPr>
                <w:rFonts w:ascii="Arial" w:hAnsi="Arial" w:cs="Arial"/>
                <w:color w:val="000000"/>
                <w:sz w:val="16"/>
                <w:szCs w:val="16"/>
                <w:lang w:val="en-US"/>
              </w:rPr>
            </w:pPr>
            <w:r w:rsidRPr="003F70A1">
              <w:rPr>
                <w:rFonts w:ascii="Arial" w:hAnsi="Arial" w:cs="Arial"/>
                <w:color w:val="000000"/>
                <w:sz w:val="16"/>
                <w:szCs w:val="16"/>
              </w:rPr>
              <w:t>0.53</w:t>
            </w:r>
          </w:p>
        </w:tc>
        <w:tc>
          <w:tcPr>
            <w:tcW w:w="1095" w:type="dxa"/>
            <w:tcBorders>
              <w:top w:val="nil"/>
              <w:left w:val="nil"/>
              <w:bottom w:val="nil"/>
              <w:right w:val="nil"/>
            </w:tcBorders>
            <w:shd w:val="clear" w:color="auto" w:fill="auto"/>
            <w:noWrap/>
            <w:vAlign w:val="center"/>
            <w:hideMark/>
          </w:tcPr>
          <w:p w14:paraId="540484D1" w14:textId="70B53620" w:rsidR="00D76689" w:rsidRPr="00B22CED" w:rsidRDefault="00D76689" w:rsidP="00D76689">
            <w:pPr>
              <w:jc w:val="right"/>
              <w:rPr>
                <w:rFonts w:ascii="Arial" w:hAnsi="Arial" w:cs="Arial"/>
                <w:color w:val="000000"/>
                <w:sz w:val="16"/>
                <w:szCs w:val="16"/>
                <w:lang w:val="en-US"/>
              </w:rPr>
            </w:pPr>
            <w:r w:rsidRPr="003F70A1">
              <w:rPr>
                <w:rFonts w:ascii="Arial" w:hAnsi="Arial" w:cs="Arial"/>
                <w:color w:val="000000"/>
                <w:sz w:val="16"/>
                <w:szCs w:val="16"/>
              </w:rPr>
              <w:t xml:space="preserve">600,000 </w:t>
            </w:r>
          </w:p>
        </w:tc>
        <w:tc>
          <w:tcPr>
            <w:tcW w:w="952" w:type="dxa"/>
            <w:tcBorders>
              <w:top w:val="nil"/>
              <w:left w:val="nil"/>
              <w:bottom w:val="nil"/>
              <w:right w:val="nil"/>
            </w:tcBorders>
            <w:shd w:val="clear" w:color="auto" w:fill="auto"/>
            <w:hideMark/>
          </w:tcPr>
          <w:p w14:paraId="4C6824DC" w14:textId="25104598" w:rsidR="00D76689" w:rsidRPr="00B22CED" w:rsidRDefault="00D76689" w:rsidP="00D76689">
            <w:pPr>
              <w:jc w:val="right"/>
              <w:rPr>
                <w:rFonts w:ascii="Arial" w:hAnsi="Arial" w:cs="Arial"/>
                <w:sz w:val="16"/>
                <w:szCs w:val="16"/>
                <w:lang w:val="en-US"/>
              </w:rPr>
            </w:pPr>
            <w:r w:rsidRPr="003F70A1">
              <w:rPr>
                <w:rFonts w:ascii="Arial" w:hAnsi="Arial" w:cs="Arial"/>
                <w:sz w:val="16"/>
                <w:szCs w:val="16"/>
                <w:lang w:val="en-US"/>
              </w:rPr>
              <w:t>-</w:t>
            </w:r>
          </w:p>
        </w:tc>
        <w:tc>
          <w:tcPr>
            <w:tcW w:w="993" w:type="dxa"/>
            <w:tcBorders>
              <w:top w:val="nil"/>
              <w:left w:val="nil"/>
              <w:bottom w:val="nil"/>
              <w:right w:val="nil"/>
            </w:tcBorders>
            <w:shd w:val="clear" w:color="auto" w:fill="auto"/>
            <w:hideMark/>
          </w:tcPr>
          <w:p w14:paraId="525AEB14" w14:textId="54CC6717" w:rsidR="00D76689" w:rsidRPr="00B22CED" w:rsidRDefault="00D76689" w:rsidP="00D76689">
            <w:pPr>
              <w:jc w:val="right"/>
              <w:rPr>
                <w:rFonts w:ascii="Arial" w:hAnsi="Arial" w:cs="Arial"/>
                <w:sz w:val="16"/>
                <w:szCs w:val="16"/>
                <w:lang w:val="en-US"/>
              </w:rPr>
            </w:pPr>
            <w:r w:rsidRPr="003F70A1">
              <w:rPr>
                <w:rFonts w:ascii="Arial" w:hAnsi="Arial" w:cs="Arial"/>
                <w:sz w:val="16"/>
                <w:szCs w:val="16"/>
                <w:lang w:val="en-US"/>
              </w:rPr>
              <w:t>-</w:t>
            </w:r>
          </w:p>
        </w:tc>
        <w:tc>
          <w:tcPr>
            <w:tcW w:w="1559" w:type="dxa"/>
            <w:tcBorders>
              <w:top w:val="nil"/>
              <w:left w:val="nil"/>
              <w:bottom w:val="nil"/>
              <w:right w:val="nil"/>
            </w:tcBorders>
            <w:shd w:val="clear" w:color="auto" w:fill="auto"/>
            <w:hideMark/>
          </w:tcPr>
          <w:p w14:paraId="04F95255" w14:textId="33C6A8B2" w:rsidR="00D76689" w:rsidRPr="00B22CED" w:rsidRDefault="00D76689" w:rsidP="00D76689">
            <w:pPr>
              <w:ind w:firstLineChars="100" w:firstLine="160"/>
              <w:jc w:val="right"/>
              <w:rPr>
                <w:rFonts w:ascii="Arial" w:hAnsi="Arial" w:cs="Arial"/>
                <w:sz w:val="16"/>
                <w:szCs w:val="16"/>
                <w:lang w:val="en-US"/>
              </w:rPr>
            </w:pPr>
            <w:r w:rsidRPr="003F70A1">
              <w:rPr>
                <w:rFonts w:ascii="Arial" w:hAnsi="Arial" w:cs="Arial"/>
                <w:sz w:val="16"/>
                <w:szCs w:val="16"/>
                <w:lang w:val="en-US"/>
              </w:rPr>
              <w:t>(600,000)</w:t>
            </w:r>
          </w:p>
        </w:tc>
        <w:tc>
          <w:tcPr>
            <w:tcW w:w="1276" w:type="dxa"/>
            <w:tcBorders>
              <w:top w:val="nil"/>
              <w:left w:val="nil"/>
              <w:bottom w:val="nil"/>
              <w:right w:val="nil"/>
            </w:tcBorders>
            <w:shd w:val="clear" w:color="auto" w:fill="auto"/>
            <w:noWrap/>
            <w:hideMark/>
          </w:tcPr>
          <w:p w14:paraId="6BD84837" w14:textId="7D3F951B" w:rsidR="00D76689" w:rsidRPr="00B22CED" w:rsidRDefault="00D76689" w:rsidP="00D76689">
            <w:pPr>
              <w:jc w:val="right"/>
              <w:rPr>
                <w:rFonts w:ascii="Arial" w:hAnsi="Arial" w:cs="Arial"/>
                <w:b/>
                <w:bCs/>
                <w:color w:val="000000"/>
                <w:sz w:val="16"/>
                <w:szCs w:val="16"/>
                <w:lang w:val="en-US"/>
              </w:rPr>
            </w:pPr>
            <w:r>
              <w:rPr>
                <w:rFonts w:ascii="Arial" w:hAnsi="Arial" w:cs="Arial"/>
                <w:b/>
                <w:bCs/>
                <w:color w:val="000000"/>
                <w:sz w:val="16"/>
                <w:szCs w:val="16"/>
                <w:lang w:val="en-US"/>
              </w:rPr>
              <w:t>-</w:t>
            </w:r>
          </w:p>
        </w:tc>
      </w:tr>
      <w:tr w:rsidR="00D76689" w:rsidRPr="00B22CED" w14:paraId="77684BFB" w14:textId="77777777" w:rsidTr="0033725E">
        <w:trPr>
          <w:trHeight w:hRule="exact" w:val="170"/>
        </w:trPr>
        <w:tc>
          <w:tcPr>
            <w:tcW w:w="1832" w:type="dxa"/>
            <w:tcBorders>
              <w:top w:val="nil"/>
              <w:left w:val="nil"/>
              <w:bottom w:val="nil"/>
              <w:right w:val="nil"/>
            </w:tcBorders>
            <w:shd w:val="clear" w:color="auto" w:fill="auto"/>
            <w:hideMark/>
          </w:tcPr>
          <w:p w14:paraId="2777132C" w14:textId="677E45AB" w:rsidR="00D76689" w:rsidRPr="00B22CED" w:rsidRDefault="00D76689" w:rsidP="00D76689">
            <w:pPr>
              <w:rPr>
                <w:rFonts w:ascii="Arial" w:hAnsi="Arial" w:cs="Arial"/>
                <w:sz w:val="16"/>
                <w:szCs w:val="16"/>
                <w:lang w:val="en-US"/>
              </w:rPr>
            </w:pPr>
            <w:r w:rsidRPr="003F70A1">
              <w:rPr>
                <w:rFonts w:ascii="Arial" w:hAnsi="Arial" w:cs="Arial"/>
                <w:sz w:val="16"/>
                <w:szCs w:val="16"/>
              </w:rPr>
              <w:t>July 10, 2023</w:t>
            </w:r>
          </w:p>
        </w:tc>
        <w:tc>
          <w:tcPr>
            <w:tcW w:w="992" w:type="dxa"/>
            <w:tcBorders>
              <w:top w:val="nil"/>
              <w:left w:val="nil"/>
              <w:bottom w:val="nil"/>
              <w:right w:val="nil"/>
            </w:tcBorders>
            <w:shd w:val="clear" w:color="auto" w:fill="auto"/>
            <w:noWrap/>
            <w:hideMark/>
          </w:tcPr>
          <w:p w14:paraId="1E274CC3" w14:textId="25AF6019" w:rsidR="00D76689" w:rsidRPr="00B22CED" w:rsidRDefault="00D76689" w:rsidP="00D76689">
            <w:pPr>
              <w:ind w:firstLineChars="100" w:firstLine="160"/>
              <w:jc w:val="right"/>
              <w:rPr>
                <w:rFonts w:ascii="Arial" w:hAnsi="Arial" w:cs="Arial"/>
                <w:color w:val="000000"/>
                <w:sz w:val="16"/>
                <w:szCs w:val="16"/>
                <w:lang w:val="en-US"/>
              </w:rPr>
            </w:pPr>
            <w:r w:rsidRPr="003F70A1">
              <w:rPr>
                <w:rFonts w:ascii="Arial" w:hAnsi="Arial" w:cs="Arial"/>
                <w:color w:val="000000"/>
                <w:sz w:val="16"/>
                <w:szCs w:val="16"/>
              </w:rPr>
              <w:t>0.30</w:t>
            </w:r>
          </w:p>
        </w:tc>
        <w:tc>
          <w:tcPr>
            <w:tcW w:w="1095" w:type="dxa"/>
            <w:tcBorders>
              <w:top w:val="nil"/>
              <w:left w:val="nil"/>
              <w:bottom w:val="nil"/>
              <w:right w:val="nil"/>
            </w:tcBorders>
            <w:shd w:val="clear" w:color="auto" w:fill="auto"/>
            <w:noWrap/>
            <w:vAlign w:val="center"/>
            <w:hideMark/>
          </w:tcPr>
          <w:p w14:paraId="64B89D25" w14:textId="19470DCC" w:rsidR="00D76689" w:rsidRPr="00B22CED" w:rsidRDefault="00D76689" w:rsidP="00D76689">
            <w:pPr>
              <w:jc w:val="right"/>
              <w:rPr>
                <w:rFonts w:ascii="Arial" w:hAnsi="Arial" w:cs="Arial"/>
                <w:color w:val="000000"/>
                <w:sz w:val="16"/>
                <w:szCs w:val="16"/>
                <w:lang w:val="en-US"/>
              </w:rPr>
            </w:pPr>
            <w:r w:rsidRPr="003F70A1">
              <w:rPr>
                <w:rFonts w:ascii="Arial" w:hAnsi="Arial" w:cs="Arial"/>
                <w:color w:val="000000"/>
                <w:sz w:val="16"/>
                <w:szCs w:val="16"/>
              </w:rPr>
              <w:t>2,3</w:t>
            </w:r>
            <w:r>
              <w:rPr>
                <w:rFonts w:ascii="Arial" w:hAnsi="Arial" w:cs="Arial"/>
                <w:color w:val="000000"/>
                <w:sz w:val="16"/>
                <w:szCs w:val="16"/>
              </w:rPr>
              <w:t>2</w:t>
            </w:r>
            <w:r w:rsidRPr="003F70A1">
              <w:rPr>
                <w:rFonts w:ascii="Arial" w:hAnsi="Arial" w:cs="Arial"/>
                <w:color w:val="000000"/>
                <w:sz w:val="16"/>
                <w:szCs w:val="16"/>
              </w:rPr>
              <w:t xml:space="preserve">0,000 </w:t>
            </w:r>
          </w:p>
        </w:tc>
        <w:tc>
          <w:tcPr>
            <w:tcW w:w="952" w:type="dxa"/>
            <w:tcBorders>
              <w:top w:val="nil"/>
              <w:left w:val="nil"/>
              <w:bottom w:val="nil"/>
              <w:right w:val="nil"/>
            </w:tcBorders>
            <w:shd w:val="clear" w:color="auto" w:fill="auto"/>
            <w:hideMark/>
          </w:tcPr>
          <w:p w14:paraId="19717926" w14:textId="38C4CFB2" w:rsidR="00D76689" w:rsidRPr="00B22CED" w:rsidRDefault="00D76689" w:rsidP="00D76689">
            <w:pPr>
              <w:jc w:val="right"/>
              <w:rPr>
                <w:rFonts w:ascii="Arial" w:hAnsi="Arial" w:cs="Arial"/>
                <w:sz w:val="16"/>
                <w:szCs w:val="16"/>
                <w:lang w:val="en-US"/>
              </w:rPr>
            </w:pPr>
            <w:r w:rsidRPr="003F70A1">
              <w:rPr>
                <w:rFonts w:ascii="Arial" w:hAnsi="Arial" w:cs="Arial"/>
                <w:sz w:val="16"/>
                <w:szCs w:val="16"/>
                <w:lang w:val="en-US"/>
              </w:rPr>
              <w:t>-</w:t>
            </w:r>
          </w:p>
        </w:tc>
        <w:tc>
          <w:tcPr>
            <w:tcW w:w="993" w:type="dxa"/>
            <w:tcBorders>
              <w:top w:val="nil"/>
              <w:left w:val="nil"/>
              <w:bottom w:val="nil"/>
              <w:right w:val="nil"/>
            </w:tcBorders>
            <w:shd w:val="clear" w:color="auto" w:fill="auto"/>
            <w:hideMark/>
          </w:tcPr>
          <w:p w14:paraId="31415F14" w14:textId="23C83D6C" w:rsidR="00D76689" w:rsidRPr="00B22CED" w:rsidRDefault="00D76689" w:rsidP="00D76689">
            <w:pPr>
              <w:jc w:val="right"/>
              <w:rPr>
                <w:rFonts w:ascii="Arial" w:hAnsi="Arial" w:cs="Arial"/>
                <w:sz w:val="16"/>
                <w:szCs w:val="16"/>
                <w:lang w:val="en-US"/>
              </w:rPr>
            </w:pPr>
            <w:r w:rsidRPr="003F70A1">
              <w:rPr>
                <w:rFonts w:ascii="Arial" w:hAnsi="Arial" w:cs="Arial"/>
                <w:sz w:val="16"/>
                <w:szCs w:val="16"/>
                <w:lang w:val="en-US"/>
              </w:rPr>
              <w:t>-</w:t>
            </w:r>
          </w:p>
        </w:tc>
        <w:tc>
          <w:tcPr>
            <w:tcW w:w="1559" w:type="dxa"/>
            <w:tcBorders>
              <w:top w:val="nil"/>
              <w:left w:val="nil"/>
              <w:bottom w:val="nil"/>
              <w:right w:val="nil"/>
            </w:tcBorders>
            <w:shd w:val="clear" w:color="auto" w:fill="auto"/>
            <w:hideMark/>
          </w:tcPr>
          <w:p w14:paraId="33E9458D" w14:textId="2F368DFF" w:rsidR="00D76689" w:rsidRPr="00B22CED" w:rsidRDefault="00D76689" w:rsidP="00D76689">
            <w:pPr>
              <w:ind w:firstLineChars="100" w:firstLine="160"/>
              <w:jc w:val="right"/>
              <w:rPr>
                <w:rFonts w:ascii="Arial" w:hAnsi="Arial" w:cs="Arial"/>
                <w:sz w:val="16"/>
                <w:szCs w:val="16"/>
                <w:lang w:val="en-US"/>
              </w:rPr>
            </w:pPr>
            <w:r w:rsidRPr="003F70A1">
              <w:rPr>
                <w:rFonts w:ascii="Arial" w:hAnsi="Arial" w:cs="Arial"/>
                <w:sz w:val="16"/>
                <w:szCs w:val="16"/>
                <w:lang w:val="en-US"/>
              </w:rPr>
              <w:t>-</w:t>
            </w:r>
          </w:p>
        </w:tc>
        <w:tc>
          <w:tcPr>
            <w:tcW w:w="1276" w:type="dxa"/>
            <w:tcBorders>
              <w:top w:val="nil"/>
              <w:left w:val="nil"/>
              <w:bottom w:val="nil"/>
              <w:right w:val="nil"/>
            </w:tcBorders>
            <w:shd w:val="clear" w:color="auto" w:fill="auto"/>
            <w:noWrap/>
            <w:hideMark/>
          </w:tcPr>
          <w:p w14:paraId="171E1069" w14:textId="69B76CEA" w:rsidR="00D76689" w:rsidRPr="00AB42F3" w:rsidRDefault="00D76689" w:rsidP="00D76689">
            <w:pPr>
              <w:jc w:val="right"/>
              <w:rPr>
                <w:rFonts w:ascii="Arial" w:hAnsi="Arial" w:cs="Arial"/>
                <w:bCs/>
                <w:color w:val="000000"/>
                <w:sz w:val="16"/>
                <w:szCs w:val="16"/>
                <w:lang w:val="en-US"/>
              </w:rPr>
            </w:pPr>
            <w:r w:rsidRPr="00AB42F3">
              <w:rPr>
                <w:rFonts w:ascii="Arial" w:hAnsi="Arial" w:cs="Arial"/>
                <w:bCs/>
                <w:sz w:val="16"/>
                <w:szCs w:val="16"/>
              </w:rPr>
              <w:t>2,320,000</w:t>
            </w:r>
          </w:p>
        </w:tc>
      </w:tr>
      <w:tr w:rsidR="00D76689" w:rsidRPr="00B22CED" w14:paraId="41317904" w14:textId="77777777" w:rsidTr="0033725E">
        <w:trPr>
          <w:trHeight w:hRule="exact" w:val="170"/>
        </w:trPr>
        <w:tc>
          <w:tcPr>
            <w:tcW w:w="1832" w:type="dxa"/>
            <w:tcBorders>
              <w:top w:val="nil"/>
              <w:left w:val="nil"/>
              <w:bottom w:val="nil"/>
              <w:right w:val="nil"/>
            </w:tcBorders>
            <w:shd w:val="clear" w:color="auto" w:fill="auto"/>
            <w:hideMark/>
          </w:tcPr>
          <w:p w14:paraId="7737D317" w14:textId="17933A23" w:rsidR="00D76689" w:rsidRPr="00B22CED" w:rsidRDefault="00D76689" w:rsidP="00D76689">
            <w:pPr>
              <w:rPr>
                <w:rFonts w:ascii="Arial" w:hAnsi="Arial" w:cs="Arial"/>
                <w:sz w:val="16"/>
                <w:szCs w:val="16"/>
                <w:lang w:val="en-US"/>
              </w:rPr>
            </w:pPr>
            <w:r w:rsidRPr="003F70A1">
              <w:rPr>
                <w:rFonts w:ascii="Arial" w:hAnsi="Arial" w:cs="Arial"/>
                <w:sz w:val="16"/>
                <w:szCs w:val="16"/>
              </w:rPr>
              <w:t>April 29, 2024</w:t>
            </w:r>
          </w:p>
        </w:tc>
        <w:tc>
          <w:tcPr>
            <w:tcW w:w="992" w:type="dxa"/>
            <w:tcBorders>
              <w:top w:val="nil"/>
              <w:left w:val="nil"/>
              <w:bottom w:val="nil"/>
              <w:right w:val="nil"/>
            </w:tcBorders>
            <w:shd w:val="clear" w:color="auto" w:fill="auto"/>
            <w:noWrap/>
            <w:hideMark/>
          </w:tcPr>
          <w:p w14:paraId="33AA23C0" w14:textId="17D53C1C" w:rsidR="00D76689" w:rsidRPr="00B22CED" w:rsidRDefault="00D76689" w:rsidP="00D76689">
            <w:pPr>
              <w:ind w:firstLineChars="100" w:firstLine="160"/>
              <w:jc w:val="right"/>
              <w:rPr>
                <w:rFonts w:ascii="Arial" w:hAnsi="Arial" w:cs="Arial"/>
                <w:color w:val="000000"/>
                <w:sz w:val="16"/>
                <w:szCs w:val="16"/>
                <w:lang w:val="en-US"/>
              </w:rPr>
            </w:pPr>
            <w:r w:rsidRPr="003F70A1">
              <w:rPr>
                <w:rFonts w:ascii="Arial" w:hAnsi="Arial" w:cs="Arial"/>
                <w:color w:val="000000"/>
                <w:sz w:val="16"/>
                <w:szCs w:val="16"/>
              </w:rPr>
              <w:t>0.30</w:t>
            </w:r>
          </w:p>
        </w:tc>
        <w:tc>
          <w:tcPr>
            <w:tcW w:w="1095" w:type="dxa"/>
            <w:tcBorders>
              <w:top w:val="nil"/>
              <w:left w:val="nil"/>
              <w:bottom w:val="nil"/>
              <w:right w:val="nil"/>
            </w:tcBorders>
            <w:shd w:val="clear" w:color="auto" w:fill="auto"/>
            <w:noWrap/>
            <w:vAlign w:val="center"/>
            <w:hideMark/>
          </w:tcPr>
          <w:p w14:paraId="212A431C" w14:textId="123E32F0" w:rsidR="00D76689" w:rsidRPr="00B22CED" w:rsidRDefault="00D76689" w:rsidP="00D76689">
            <w:pPr>
              <w:jc w:val="right"/>
              <w:rPr>
                <w:rFonts w:ascii="Arial" w:hAnsi="Arial" w:cs="Arial"/>
                <w:color w:val="000000"/>
                <w:sz w:val="16"/>
                <w:szCs w:val="16"/>
                <w:lang w:val="en-US"/>
              </w:rPr>
            </w:pPr>
            <w:r>
              <w:rPr>
                <w:rFonts w:ascii="Arial" w:hAnsi="Arial" w:cs="Arial"/>
                <w:color w:val="000000"/>
                <w:sz w:val="16"/>
                <w:szCs w:val="16"/>
              </w:rPr>
              <w:t>600</w:t>
            </w:r>
            <w:r w:rsidRPr="003F70A1">
              <w:rPr>
                <w:rFonts w:ascii="Arial" w:hAnsi="Arial" w:cs="Arial"/>
                <w:color w:val="000000"/>
                <w:sz w:val="16"/>
                <w:szCs w:val="16"/>
              </w:rPr>
              <w:t xml:space="preserve">,000 </w:t>
            </w:r>
          </w:p>
        </w:tc>
        <w:tc>
          <w:tcPr>
            <w:tcW w:w="952" w:type="dxa"/>
            <w:tcBorders>
              <w:top w:val="nil"/>
              <w:left w:val="nil"/>
              <w:bottom w:val="nil"/>
              <w:right w:val="nil"/>
            </w:tcBorders>
            <w:shd w:val="clear" w:color="auto" w:fill="auto"/>
            <w:hideMark/>
          </w:tcPr>
          <w:p w14:paraId="6D5D5226" w14:textId="2EB3403B" w:rsidR="00D76689" w:rsidRPr="00B22CED" w:rsidRDefault="00D76689" w:rsidP="00D76689">
            <w:pPr>
              <w:jc w:val="right"/>
              <w:rPr>
                <w:rFonts w:ascii="Arial" w:hAnsi="Arial" w:cs="Arial"/>
                <w:sz w:val="16"/>
                <w:szCs w:val="16"/>
                <w:lang w:val="en-US"/>
              </w:rPr>
            </w:pPr>
            <w:r w:rsidRPr="003F70A1">
              <w:rPr>
                <w:rFonts w:ascii="Arial" w:hAnsi="Arial" w:cs="Arial"/>
                <w:sz w:val="16"/>
                <w:szCs w:val="16"/>
                <w:lang w:val="en-US"/>
              </w:rPr>
              <w:t>-</w:t>
            </w:r>
          </w:p>
        </w:tc>
        <w:tc>
          <w:tcPr>
            <w:tcW w:w="993" w:type="dxa"/>
            <w:tcBorders>
              <w:top w:val="nil"/>
              <w:left w:val="nil"/>
              <w:bottom w:val="nil"/>
              <w:right w:val="nil"/>
            </w:tcBorders>
            <w:shd w:val="clear" w:color="auto" w:fill="auto"/>
            <w:hideMark/>
          </w:tcPr>
          <w:p w14:paraId="302578DC" w14:textId="69F9EA95" w:rsidR="00D76689" w:rsidRPr="00B22CED" w:rsidRDefault="00D76689" w:rsidP="00D76689">
            <w:pPr>
              <w:jc w:val="right"/>
              <w:rPr>
                <w:rFonts w:ascii="Arial" w:hAnsi="Arial" w:cs="Arial"/>
                <w:sz w:val="16"/>
                <w:szCs w:val="16"/>
                <w:lang w:val="en-US"/>
              </w:rPr>
            </w:pPr>
            <w:r w:rsidRPr="003F70A1">
              <w:rPr>
                <w:rFonts w:ascii="Arial" w:hAnsi="Arial" w:cs="Arial"/>
                <w:sz w:val="16"/>
                <w:szCs w:val="16"/>
                <w:lang w:val="en-US"/>
              </w:rPr>
              <w:t>-</w:t>
            </w:r>
          </w:p>
        </w:tc>
        <w:tc>
          <w:tcPr>
            <w:tcW w:w="1559" w:type="dxa"/>
            <w:tcBorders>
              <w:top w:val="nil"/>
              <w:left w:val="nil"/>
              <w:bottom w:val="nil"/>
              <w:right w:val="nil"/>
            </w:tcBorders>
            <w:shd w:val="clear" w:color="auto" w:fill="auto"/>
            <w:hideMark/>
          </w:tcPr>
          <w:p w14:paraId="289A6FE8" w14:textId="027E8B43" w:rsidR="00D76689" w:rsidRPr="00B22CED" w:rsidRDefault="00D76689" w:rsidP="00D76689">
            <w:pPr>
              <w:ind w:firstLineChars="100" w:firstLine="160"/>
              <w:jc w:val="right"/>
              <w:rPr>
                <w:rFonts w:ascii="Arial" w:hAnsi="Arial" w:cs="Arial"/>
                <w:sz w:val="16"/>
                <w:szCs w:val="16"/>
                <w:lang w:val="en-US"/>
              </w:rPr>
            </w:pPr>
            <w:r w:rsidRPr="003F70A1">
              <w:rPr>
                <w:rFonts w:ascii="Arial" w:hAnsi="Arial" w:cs="Arial"/>
                <w:sz w:val="16"/>
                <w:szCs w:val="16"/>
                <w:lang w:val="en-US"/>
              </w:rPr>
              <w:t>-</w:t>
            </w:r>
          </w:p>
        </w:tc>
        <w:tc>
          <w:tcPr>
            <w:tcW w:w="1276" w:type="dxa"/>
            <w:tcBorders>
              <w:top w:val="nil"/>
              <w:left w:val="nil"/>
              <w:bottom w:val="nil"/>
              <w:right w:val="nil"/>
            </w:tcBorders>
            <w:shd w:val="clear" w:color="auto" w:fill="auto"/>
            <w:noWrap/>
            <w:hideMark/>
          </w:tcPr>
          <w:p w14:paraId="47C3E4E8" w14:textId="691B5EAD" w:rsidR="00D76689" w:rsidRPr="00AB42F3" w:rsidRDefault="00D76689" w:rsidP="00D76689">
            <w:pPr>
              <w:jc w:val="right"/>
              <w:rPr>
                <w:rFonts w:ascii="Arial" w:hAnsi="Arial" w:cs="Arial"/>
                <w:bCs/>
                <w:color w:val="000000"/>
                <w:sz w:val="16"/>
                <w:szCs w:val="16"/>
                <w:lang w:val="en-US"/>
              </w:rPr>
            </w:pPr>
            <w:r w:rsidRPr="00AB42F3">
              <w:rPr>
                <w:rFonts w:ascii="Arial" w:hAnsi="Arial" w:cs="Arial"/>
                <w:bCs/>
                <w:sz w:val="16"/>
                <w:szCs w:val="16"/>
              </w:rPr>
              <w:t>600,000</w:t>
            </w:r>
          </w:p>
        </w:tc>
      </w:tr>
      <w:tr w:rsidR="00D76689" w:rsidRPr="00B22CED" w14:paraId="1E6CAB77" w14:textId="77777777" w:rsidTr="0033725E">
        <w:trPr>
          <w:trHeight w:hRule="exact" w:val="170"/>
        </w:trPr>
        <w:tc>
          <w:tcPr>
            <w:tcW w:w="1832" w:type="dxa"/>
            <w:tcBorders>
              <w:top w:val="nil"/>
              <w:left w:val="nil"/>
              <w:bottom w:val="nil"/>
              <w:right w:val="nil"/>
            </w:tcBorders>
            <w:shd w:val="clear" w:color="auto" w:fill="auto"/>
            <w:hideMark/>
          </w:tcPr>
          <w:p w14:paraId="0AC87C93" w14:textId="26BE630F" w:rsidR="00D76689" w:rsidRPr="00B22CED" w:rsidRDefault="00D76689" w:rsidP="00D76689">
            <w:pPr>
              <w:rPr>
                <w:rFonts w:ascii="Arial" w:hAnsi="Arial" w:cs="Arial"/>
                <w:sz w:val="16"/>
                <w:szCs w:val="16"/>
                <w:lang w:val="en-US"/>
              </w:rPr>
            </w:pPr>
            <w:r w:rsidRPr="003F70A1">
              <w:rPr>
                <w:rFonts w:ascii="Arial" w:hAnsi="Arial" w:cs="Arial"/>
                <w:sz w:val="16"/>
                <w:szCs w:val="16"/>
              </w:rPr>
              <w:t>June 26, 2024</w:t>
            </w:r>
          </w:p>
        </w:tc>
        <w:tc>
          <w:tcPr>
            <w:tcW w:w="992" w:type="dxa"/>
            <w:tcBorders>
              <w:top w:val="nil"/>
              <w:left w:val="nil"/>
              <w:bottom w:val="nil"/>
              <w:right w:val="nil"/>
            </w:tcBorders>
            <w:shd w:val="clear" w:color="auto" w:fill="auto"/>
            <w:noWrap/>
            <w:hideMark/>
          </w:tcPr>
          <w:p w14:paraId="485FD052" w14:textId="03196CDD" w:rsidR="00D76689" w:rsidRPr="00B22CED" w:rsidRDefault="00D76689" w:rsidP="00D76689">
            <w:pPr>
              <w:ind w:firstLineChars="100" w:firstLine="160"/>
              <w:jc w:val="right"/>
              <w:rPr>
                <w:rFonts w:ascii="Arial" w:hAnsi="Arial" w:cs="Arial"/>
                <w:color w:val="000000"/>
                <w:sz w:val="16"/>
                <w:szCs w:val="16"/>
                <w:lang w:val="en-US"/>
              </w:rPr>
            </w:pPr>
            <w:r w:rsidRPr="003F70A1">
              <w:rPr>
                <w:rFonts w:ascii="Arial" w:hAnsi="Arial" w:cs="Arial"/>
                <w:color w:val="000000"/>
                <w:sz w:val="16"/>
                <w:szCs w:val="16"/>
              </w:rPr>
              <w:t>0.20</w:t>
            </w:r>
          </w:p>
        </w:tc>
        <w:tc>
          <w:tcPr>
            <w:tcW w:w="1095" w:type="dxa"/>
            <w:tcBorders>
              <w:top w:val="nil"/>
              <w:left w:val="nil"/>
              <w:bottom w:val="nil"/>
              <w:right w:val="nil"/>
            </w:tcBorders>
            <w:shd w:val="clear" w:color="auto" w:fill="auto"/>
            <w:noWrap/>
            <w:vAlign w:val="center"/>
            <w:hideMark/>
          </w:tcPr>
          <w:p w14:paraId="1EC7A71E" w14:textId="0EB20D16" w:rsidR="00D76689" w:rsidRPr="00B22CED" w:rsidRDefault="00D76689" w:rsidP="00D76689">
            <w:pPr>
              <w:jc w:val="right"/>
              <w:rPr>
                <w:rFonts w:ascii="Arial" w:hAnsi="Arial" w:cs="Arial"/>
                <w:color w:val="000000"/>
                <w:sz w:val="16"/>
                <w:szCs w:val="16"/>
                <w:lang w:val="en-US"/>
              </w:rPr>
            </w:pPr>
            <w:r w:rsidRPr="003F70A1">
              <w:rPr>
                <w:rFonts w:ascii="Arial" w:hAnsi="Arial" w:cs="Arial"/>
                <w:color w:val="000000"/>
                <w:sz w:val="16"/>
                <w:szCs w:val="16"/>
              </w:rPr>
              <w:t xml:space="preserve">200,000 </w:t>
            </w:r>
          </w:p>
        </w:tc>
        <w:tc>
          <w:tcPr>
            <w:tcW w:w="952" w:type="dxa"/>
            <w:tcBorders>
              <w:top w:val="nil"/>
              <w:left w:val="nil"/>
              <w:bottom w:val="nil"/>
              <w:right w:val="nil"/>
            </w:tcBorders>
            <w:shd w:val="clear" w:color="auto" w:fill="auto"/>
            <w:hideMark/>
          </w:tcPr>
          <w:p w14:paraId="6C62EEC1" w14:textId="0343E837" w:rsidR="00D76689" w:rsidRPr="00B22CED" w:rsidRDefault="00D76689" w:rsidP="00D76689">
            <w:pPr>
              <w:jc w:val="right"/>
              <w:rPr>
                <w:rFonts w:ascii="Arial" w:hAnsi="Arial" w:cs="Arial"/>
                <w:sz w:val="16"/>
                <w:szCs w:val="16"/>
                <w:lang w:val="en-US"/>
              </w:rPr>
            </w:pPr>
            <w:r w:rsidRPr="003F70A1">
              <w:rPr>
                <w:rFonts w:ascii="Arial" w:hAnsi="Arial" w:cs="Arial"/>
                <w:sz w:val="16"/>
                <w:szCs w:val="16"/>
                <w:lang w:val="en-US"/>
              </w:rPr>
              <w:t>-</w:t>
            </w:r>
          </w:p>
        </w:tc>
        <w:tc>
          <w:tcPr>
            <w:tcW w:w="993" w:type="dxa"/>
            <w:tcBorders>
              <w:top w:val="nil"/>
              <w:left w:val="nil"/>
              <w:bottom w:val="nil"/>
              <w:right w:val="nil"/>
            </w:tcBorders>
            <w:shd w:val="clear" w:color="auto" w:fill="auto"/>
            <w:hideMark/>
          </w:tcPr>
          <w:p w14:paraId="2A6E5F8B" w14:textId="5A049910" w:rsidR="00D76689" w:rsidRPr="00B22CED" w:rsidRDefault="00D76689" w:rsidP="00D76689">
            <w:pPr>
              <w:jc w:val="right"/>
              <w:rPr>
                <w:rFonts w:ascii="Arial" w:hAnsi="Arial" w:cs="Arial"/>
                <w:sz w:val="16"/>
                <w:szCs w:val="16"/>
                <w:lang w:val="en-US"/>
              </w:rPr>
            </w:pPr>
            <w:r w:rsidRPr="003F70A1">
              <w:rPr>
                <w:rFonts w:ascii="Arial" w:hAnsi="Arial" w:cs="Arial"/>
                <w:sz w:val="16"/>
                <w:szCs w:val="16"/>
                <w:lang w:val="en-US"/>
              </w:rPr>
              <w:t>-</w:t>
            </w:r>
          </w:p>
        </w:tc>
        <w:tc>
          <w:tcPr>
            <w:tcW w:w="1559" w:type="dxa"/>
            <w:tcBorders>
              <w:top w:val="nil"/>
              <w:left w:val="nil"/>
              <w:bottom w:val="nil"/>
              <w:right w:val="nil"/>
            </w:tcBorders>
            <w:shd w:val="clear" w:color="auto" w:fill="auto"/>
            <w:hideMark/>
          </w:tcPr>
          <w:p w14:paraId="67543408" w14:textId="6DDCCDDA" w:rsidR="00D76689" w:rsidRPr="00B22CED" w:rsidRDefault="00D76689" w:rsidP="00D76689">
            <w:pPr>
              <w:ind w:firstLineChars="100" w:firstLine="160"/>
              <w:jc w:val="right"/>
              <w:rPr>
                <w:rFonts w:ascii="Arial" w:hAnsi="Arial" w:cs="Arial"/>
                <w:sz w:val="16"/>
                <w:szCs w:val="16"/>
                <w:lang w:val="en-US"/>
              </w:rPr>
            </w:pPr>
            <w:r w:rsidRPr="003F70A1">
              <w:rPr>
                <w:rFonts w:ascii="Arial" w:hAnsi="Arial" w:cs="Arial"/>
                <w:sz w:val="16"/>
                <w:szCs w:val="16"/>
                <w:lang w:val="en-US"/>
              </w:rPr>
              <w:t>-</w:t>
            </w:r>
          </w:p>
        </w:tc>
        <w:tc>
          <w:tcPr>
            <w:tcW w:w="1276" w:type="dxa"/>
            <w:tcBorders>
              <w:top w:val="nil"/>
              <w:left w:val="nil"/>
              <w:bottom w:val="nil"/>
              <w:right w:val="nil"/>
            </w:tcBorders>
            <w:shd w:val="clear" w:color="auto" w:fill="auto"/>
            <w:noWrap/>
            <w:hideMark/>
          </w:tcPr>
          <w:p w14:paraId="245CFD43" w14:textId="7A91B162" w:rsidR="00D76689" w:rsidRPr="00AB42F3" w:rsidRDefault="00D76689" w:rsidP="00D76689">
            <w:pPr>
              <w:jc w:val="right"/>
              <w:rPr>
                <w:rFonts w:ascii="Arial" w:hAnsi="Arial" w:cs="Arial"/>
                <w:bCs/>
                <w:color w:val="000000"/>
                <w:sz w:val="16"/>
                <w:szCs w:val="16"/>
                <w:lang w:val="en-US"/>
              </w:rPr>
            </w:pPr>
            <w:r w:rsidRPr="00AB42F3">
              <w:rPr>
                <w:rFonts w:ascii="Arial" w:hAnsi="Arial" w:cs="Arial"/>
                <w:bCs/>
                <w:sz w:val="16"/>
                <w:szCs w:val="16"/>
              </w:rPr>
              <w:t>200,000</w:t>
            </w:r>
          </w:p>
        </w:tc>
      </w:tr>
      <w:tr w:rsidR="00D76689" w:rsidRPr="00B22CED" w14:paraId="7148AD7A" w14:textId="77777777" w:rsidTr="0033725E">
        <w:trPr>
          <w:trHeight w:hRule="exact" w:val="170"/>
        </w:trPr>
        <w:tc>
          <w:tcPr>
            <w:tcW w:w="1832" w:type="dxa"/>
            <w:tcBorders>
              <w:top w:val="nil"/>
              <w:left w:val="nil"/>
              <w:bottom w:val="nil"/>
              <w:right w:val="nil"/>
            </w:tcBorders>
            <w:shd w:val="clear" w:color="auto" w:fill="auto"/>
            <w:hideMark/>
          </w:tcPr>
          <w:p w14:paraId="49FAA994" w14:textId="6D19C793" w:rsidR="00D76689" w:rsidRPr="00B22CED" w:rsidRDefault="00D76689" w:rsidP="00D76689">
            <w:pPr>
              <w:rPr>
                <w:rFonts w:ascii="Arial" w:hAnsi="Arial" w:cs="Arial"/>
                <w:sz w:val="16"/>
                <w:szCs w:val="16"/>
                <w:lang w:val="en-US"/>
              </w:rPr>
            </w:pPr>
            <w:r w:rsidRPr="003F70A1">
              <w:rPr>
                <w:rFonts w:ascii="Arial" w:hAnsi="Arial" w:cs="Arial"/>
                <w:sz w:val="16"/>
                <w:szCs w:val="16"/>
              </w:rPr>
              <w:t>September 1, 2024</w:t>
            </w:r>
          </w:p>
        </w:tc>
        <w:tc>
          <w:tcPr>
            <w:tcW w:w="992" w:type="dxa"/>
            <w:tcBorders>
              <w:top w:val="nil"/>
              <w:left w:val="nil"/>
              <w:bottom w:val="nil"/>
              <w:right w:val="nil"/>
            </w:tcBorders>
            <w:shd w:val="clear" w:color="auto" w:fill="auto"/>
            <w:noWrap/>
            <w:hideMark/>
          </w:tcPr>
          <w:p w14:paraId="30487932" w14:textId="5327009B" w:rsidR="00D76689" w:rsidRPr="00B22CED" w:rsidRDefault="00D76689" w:rsidP="00D76689">
            <w:pPr>
              <w:ind w:firstLineChars="100" w:firstLine="160"/>
              <w:jc w:val="right"/>
              <w:rPr>
                <w:rFonts w:ascii="Arial" w:hAnsi="Arial" w:cs="Arial"/>
                <w:color w:val="000000"/>
                <w:sz w:val="16"/>
                <w:szCs w:val="16"/>
                <w:lang w:val="en-US"/>
              </w:rPr>
            </w:pPr>
            <w:r w:rsidRPr="003F70A1">
              <w:rPr>
                <w:rFonts w:ascii="Arial" w:hAnsi="Arial" w:cs="Arial"/>
                <w:color w:val="000000"/>
                <w:sz w:val="16"/>
                <w:szCs w:val="16"/>
              </w:rPr>
              <w:t>0.20</w:t>
            </w:r>
          </w:p>
        </w:tc>
        <w:tc>
          <w:tcPr>
            <w:tcW w:w="1095" w:type="dxa"/>
            <w:tcBorders>
              <w:top w:val="nil"/>
              <w:left w:val="nil"/>
              <w:bottom w:val="nil"/>
              <w:right w:val="nil"/>
            </w:tcBorders>
            <w:shd w:val="clear" w:color="auto" w:fill="auto"/>
            <w:noWrap/>
            <w:vAlign w:val="center"/>
            <w:hideMark/>
          </w:tcPr>
          <w:p w14:paraId="675E3240" w14:textId="671263FC" w:rsidR="00D76689" w:rsidRPr="00B22CED" w:rsidRDefault="00D76689" w:rsidP="00D76689">
            <w:pPr>
              <w:jc w:val="right"/>
              <w:rPr>
                <w:rFonts w:ascii="Arial" w:hAnsi="Arial" w:cs="Arial"/>
                <w:color w:val="000000"/>
                <w:sz w:val="16"/>
                <w:szCs w:val="16"/>
                <w:lang w:val="en-US"/>
              </w:rPr>
            </w:pPr>
            <w:r w:rsidRPr="003F70A1">
              <w:rPr>
                <w:rFonts w:ascii="Arial" w:hAnsi="Arial" w:cs="Arial"/>
                <w:color w:val="000000"/>
                <w:sz w:val="16"/>
                <w:szCs w:val="16"/>
              </w:rPr>
              <w:t xml:space="preserve">200,000 </w:t>
            </w:r>
          </w:p>
        </w:tc>
        <w:tc>
          <w:tcPr>
            <w:tcW w:w="952" w:type="dxa"/>
            <w:tcBorders>
              <w:top w:val="nil"/>
              <w:left w:val="nil"/>
              <w:bottom w:val="nil"/>
              <w:right w:val="nil"/>
            </w:tcBorders>
            <w:shd w:val="clear" w:color="auto" w:fill="auto"/>
            <w:hideMark/>
          </w:tcPr>
          <w:p w14:paraId="23BABF35" w14:textId="5DD4C5D1" w:rsidR="00D76689" w:rsidRPr="00B22CED" w:rsidRDefault="00D76689" w:rsidP="00D76689">
            <w:pPr>
              <w:jc w:val="right"/>
              <w:rPr>
                <w:rFonts w:ascii="Arial" w:hAnsi="Arial" w:cs="Arial"/>
                <w:sz w:val="16"/>
                <w:szCs w:val="16"/>
                <w:lang w:val="en-US"/>
              </w:rPr>
            </w:pPr>
            <w:r w:rsidRPr="003F70A1">
              <w:rPr>
                <w:rFonts w:ascii="Arial" w:hAnsi="Arial" w:cs="Arial"/>
                <w:color w:val="000000"/>
                <w:sz w:val="16"/>
                <w:szCs w:val="16"/>
                <w:lang w:val="en-US"/>
              </w:rPr>
              <w:t>-</w:t>
            </w:r>
          </w:p>
        </w:tc>
        <w:tc>
          <w:tcPr>
            <w:tcW w:w="993" w:type="dxa"/>
            <w:tcBorders>
              <w:top w:val="nil"/>
              <w:left w:val="nil"/>
              <w:bottom w:val="nil"/>
              <w:right w:val="nil"/>
            </w:tcBorders>
            <w:shd w:val="clear" w:color="auto" w:fill="auto"/>
            <w:hideMark/>
          </w:tcPr>
          <w:p w14:paraId="4E4614B1" w14:textId="45FA92A8" w:rsidR="00D76689" w:rsidRPr="00B22CED" w:rsidRDefault="00D76689" w:rsidP="00D76689">
            <w:pPr>
              <w:jc w:val="right"/>
              <w:rPr>
                <w:rFonts w:ascii="Arial" w:hAnsi="Arial" w:cs="Arial"/>
                <w:sz w:val="16"/>
                <w:szCs w:val="16"/>
                <w:lang w:val="en-US"/>
              </w:rPr>
            </w:pPr>
            <w:r w:rsidRPr="003F70A1">
              <w:rPr>
                <w:rFonts w:ascii="Arial" w:hAnsi="Arial" w:cs="Arial"/>
                <w:sz w:val="16"/>
                <w:szCs w:val="16"/>
                <w:lang w:val="en-US"/>
              </w:rPr>
              <w:t>-</w:t>
            </w:r>
          </w:p>
        </w:tc>
        <w:tc>
          <w:tcPr>
            <w:tcW w:w="1559" w:type="dxa"/>
            <w:tcBorders>
              <w:top w:val="nil"/>
              <w:left w:val="nil"/>
              <w:bottom w:val="nil"/>
              <w:right w:val="nil"/>
            </w:tcBorders>
            <w:shd w:val="clear" w:color="auto" w:fill="auto"/>
            <w:hideMark/>
          </w:tcPr>
          <w:p w14:paraId="7194AC3B" w14:textId="7D4BCB72" w:rsidR="00D76689" w:rsidRPr="00B22CED" w:rsidRDefault="00D76689" w:rsidP="00D76689">
            <w:pPr>
              <w:ind w:firstLineChars="100" w:firstLine="160"/>
              <w:jc w:val="right"/>
              <w:rPr>
                <w:rFonts w:ascii="Arial" w:hAnsi="Arial" w:cs="Arial"/>
                <w:sz w:val="16"/>
                <w:szCs w:val="16"/>
                <w:lang w:val="en-US"/>
              </w:rPr>
            </w:pPr>
            <w:r w:rsidRPr="003F70A1">
              <w:rPr>
                <w:rFonts w:ascii="Arial" w:hAnsi="Arial" w:cs="Arial"/>
                <w:sz w:val="16"/>
                <w:szCs w:val="16"/>
                <w:lang w:val="en-US"/>
              </w:rPr>
              <w:t xml:space="preserve"> -</w:t>
            </w:r>
          </w:p>
        </w:tc>
        <w:tc>
          <w:tcPr>
            <w:tcW w:w="1276" w:type="dxa"/>
            <w:tcBorders>
              <w:top w:val="nil"/>
              <w:left w:val="nil"/>
              <w:bottom w:val="nil"/>
              <w:right w:val="nil"/>
            </w:tcBorders>
            <w:shd w:val="clear" w:color="auto" w:fill="auto"/>
            <w:noWrap/>
            <w:hideMark/>
          </w:tcPr>
          <w:p w14:paraId="6FA03CC8" w14:textId="33024C38" w:rsidR="00D76689" w:rsidRPr="00AB42F3" w:rsidRDefault="00D76689" w:rsidP="00D76689">
            <w:pPr>
              <w:jc w:val="right"/>
              <w:rPr>
                <w:rFonts w:ascii="Arial" w:hAnsi="Arial" w:cs="Arial"/>
                <w:bCs/>
                <w:color w:val="000000"/>
                <w:sz w:val="16"/>
                <w:szCs w:val="16"/>
                <w:lang w:val="en-US"/>
              </w:rPr>
            </w:pPr>
            <w:r w:rsidRPr="00AB42F3">
              <w:rPr>
                <w:rFonts w:ascii="Arial" w:hAnsi="Arial" w:cs="Arial"/>
                <w:bCs/>
                <w:sz w:val="16"/>
                <w:szCs w:val="16"/>
              </w:rPr>
              <w:t>200,000</w:t>
            </w:r>
          </w:p>
        </w:tc>
      </w:tr>
      <w:tr w:rsidR="00D76689" w:rsidRPr="00B22CED" w14:paraId="3C508EF0" w14:textId="77777777" w:rsidTr="0033725E">
        <w:trPr>
          <w:trHeight w:hRule="exact" w:val="170"/>
        </w:trPr>
        <w:tc>
          <w:tcPr>
            <w:tcW w:w="1832" w:type="dxa"/>
            <w:tcBorders>
              <w:top w:val="nil"/>
              <w:left w:val="nil"/>
              <w:right w:val="nil"/>
            </w:tcBorders>
            <w:shd w:val="clear" w:color="auto" w:fill="auto"/>
            <w:hideMark/>
          </w:tcPr>
          <w:p w14:paraId="0C342606" w14:textId="087C5632" w:rsidR="00D76689" w:rsidRPr="00B22CED" w:rsidRDefault="00D76689" w:rsidP="00D76689">
            <w:pPr>
              <w:rPr>
                <w:rFonts w:ascii="Arial" w:hAnsi="Arial" w:cs="Arial"/>
                <w:sz w:val="16"/>
                <w:szCs w:val="16"/>
                <w:lang w:val="en-US"/>
              </w:rPr>
            </w:pPr>
            <w:r w:rsidRPr="003F70A1">
              <w:rPr>
                <w:rFonts w:ascii="Arial" w:hAnsi="Arial" w:cs="Arial"/>
                <w:sz w:val="16"/>
                <w:szCs w:val="16"/>
              </w:rPr>
              <w:t>July 13,</w:t>
            </w:r>
            <w:r>
              <w:rPr>
                <w:rFonts w:ascii="Arial" w:hAnsi="Arial" w:cs="Arial"/>
                <w:sz w:val="16"/>
                <w:szCs w:val="16"/>
              </w:rPr>
              <w:t xml:space="preserve"> </w:t>
            </w:r>
            <w:r w:rsidRPr="003F70A1">
              <w:rPr>
                <w:rFonts w:ascii="Arial" w:hAnsi="Arial" w:cs="Arial"/>
                <w:sz w:val="16"/>
                <w:szCs w:val="16"/>
              </w:rPr>
              <w:t>2025</w:t>
            </w:r>
          </w:p>
        </w:tc>
        <w:tc>
          <w:tcPr>
            <w:tcW w:w="992" w:type="dxa"/>
            <w:tcBorders>
              <w:top w:val="nil"/>
              <w:left w:val="nil"/>
              <w:right w:val="nil"/>
            </w:tcBorders>
            <w:shd w:val="clear" w:color="auto" w:fill="auto"/>
            <w:noWrap/>
            <w:hideMark/>
          </w:tcPr>
          <w:p w14:paraId="47A35BAB" w14:textId="0E74888C" w:rsidR="00D76689" w:rsidRPr="00B22CED" w:rsidRDefault="00D76689" w:rsidP="00D76689">
            <w:pPr>
              <w:ind w:firstLineChars="100" w:firstLine="160"/>
              <w:jc w:val="right"/>
              <w:rPr>
                <w:rFonts w:ascii="Arial" w:hAnsi="Arial" w:cs="Arial"/>
                <w:color w:val="000000"/>
                <w:sz w:val="16"/>
                <w:szCs w:val="16"/>
                <w:lang w:val="en-US"/>
              </w:rPr>
            </w:pPr>
            <w:r w:rsidRPr="003F70A1">
              <w:rPr>
                <w:rFonts w:ascii="Arial" w:hAnsi="Arial" w:cs="Arial"/>
                <w:color w:val="000000"/>
                <w:sz w:val="16"/>
                <w:szCs w:val="16"/>
              </w:rPr>
              <w:t>0.20</w:t>
            </w:r>
          </w:p>
        </w:tc>
        <w:tc>
          <w:tcPr>
            <w:tcW w:w="1095" w:type="dxa"/>
            <w:tcBorders>
              <w:top w:val="nil"/>
              <w:left w:val="nil"/>
              <w:right w:val="nil"/>
            </w:tcBorders>
            <w:shd w:val="clear" w:color="auto" w:fill="auto"/>
            <w:noWrap/>
            <w:vAlign w:val="center"/>
            <w:hideMark/>
          </w:tcPr>
          <w:p w14:paraId="61007E65" w14:textId="53131041" w:rsidR="00D76689" w:rsidRPr="00B22CED" w:rsidRDefault="00D76689" w:rsidP="00D76689">
            <w:pPr>
              <w:jc w:val="right"/>
              <w:rPr>
                <w:rFonts w:ascii="Arial" w:hAnsi="Arial" w:cs="Arial"/>
                <w:color w:val="000000"/>
                <w:sz w:val="16"/>
                <w:szCs w:val="16"/>
                <w:lang w:val="en-US"/>
              </w:rPr>
            </w:pPr>
            <w:r w:rsidRPr="003F70A1">
              <w:rPr>
                <w:rFonts w:ascii="Arial" w:hAnsi="Arial" w:cs="Arial"/>
                <w:color w:val="000000"/>
                <w:sz w:val="16"/>
                <w:szCs w:val="16"/>
              </w:rPr>
              <w:t xml:space="preserve">200,000 </w:t>
            </w:r>
          </w:p>
        </w:tc>
        <w:tc>
          <w:tcPr>
            <w:tcW w:w="952" w:type="dxa"/>
            <w:tcBorders>
              <w:top w:val="nil"/>
              <w:left w:val="nil"/>
              <w:right w:val="nil"/>
            </w:tcBorders>
            <w:shd w:val="clear" w:color="auto" w:fill="auto"/>
            <w:noWrap/>
            <w:hideMark/>
          </w:tcPr>
          <w:p w14:paraId="6AFDC946" w14:textId="0AA9D1A0" w:rsidR="00D76689" w:rsidRPr="00B22CED" w:rsidRDefault="00D76689" w:rsidP="00D76689">
            <w:pPr>
              <w:jc w:val="right"/>
              <w:rPr>
                <w:rFonts w:ascii="Arial" w:hAnsi="Arial" w:cs="Arial"/>
                <w:color w:val="000000"/>
                <w:sz w:val="16"/>
                <w:szCs w:val="16"/>
                <w:lang w:val="en-US"/>
              </w:rPr>
            </w:pPr>
            <w:r w:rsidRPr="003F70A1">
              <w:rPr>
                <w:rFonts w:ascii="Arial" w:hAnsi="Arial" w:cs="Arial"/>
                <w:color w:val="000000"/>
                <w:sz w:val="16"/>
                <w:szCs w:val="16"/>
                <w:lang w:val="en-US"/>
              </w:rPr>
              <w:t>-</w:t>
            </w:r>
          </w:p>
        </w:tc>
        <w:tc>
          <w:tcPr>
            <w:tcW w:w="993" w:type="dxa"/>
            <w:tcBorders>
              <w:top w:val="nil"/>
              <w:left w:val="nil"/>
              <w:right w:val="nil"/>
            </w:tcBorders>
            <w:shd w:val="clear" w:color="auto" w:fill="auto"/>
            <w:hideMark/>
          </w:tcPr>
          <w:p w14:paraId="251F6171" w14:textId="16F4D58D" w:rsidR="00D76689" w:rsidRPr="00B22CED" w:rsidRDefault="00D76689" w:rsidP="00D76689">
            <w:pPr>
              <w:jc w:val="right"/>
              <w:rPr>
                <w:rFonts w:ascii="Arial" w:hAnsi="Arial" w:cs="Arial"/>
                <w:sz w:val="16"/>
                <w:szCs w:val="16"/>
                <w:lang w:val="en-US"/>
              </w:rPr>
            </w:pPr>
            <w:r w:rsidRPr="003F70A1">
              <w:rPr>
                <w:rFonts w:ascii="Arial" w:hAnsi="Arial" w:cs="Arial"/>
                <w:sz w:val="16"/>
                <w:szCs w:val="16"/>
                <w:lang w:val="en-US"/>
              </w:rPr>
              <w:t>-</w:t>
            </w:r>
          </w:p>
        </w:tc>
        <w:tc>
          <w:tcPr>
            <w:tcW w:w="1559" w:type="dxa"/>
            <w:tcBorders>
              <w:top w:val="nil"/>
              <w:left w:val="nil"/>
              <w:right w:val="nil"/>
            </w:tcBorders>
            <w:shd w:val="clear" w:color="auto" w:fill="auto"/>
            <w:hideMark/>
          </w:tcPr>
          <w:p w14:paraId="3FE9EBD1" w14:textId="2FF293DB" w:rsidR="00D76689" w:rsidRPr="00B22CED" w:rsidRDefault="00D76689" w:rsidP="00D76689">
            <w:pPr>
              <w:ind w:firstLineChars="100" w:firstLine="160"/>
              <w:jc w:val="right"/>
              <w:rPr>
                <w:rFonts w:ascii="Arial" w:hAnsi="Arial" w:cs="Arial"/>
                <w:sz w:val="16"/>
                <w:szCs w:val="16"/>
                <w:lang w:val="en-US"/>
              </w:rPr>
            </w:pPr>
            <w:r w:rsidRPr="003F70A1">
              <w:rPr>
                <w:rFonts w:ascii="Arial" w:hAnsi="Arial" w:cs="Arial"/>
                <w:sz w:val="16"/>
                <w:szCs w:val="16"/>
                <w:lang w:val="en-US"/>
              </w:rPr>
              <w:t>-</w:t>
            </w:r>
          </w:p>
        </w:tc>
        <w:tc>
          <w:tcPr>
            <w:tcW w:w="1276" w:type="dxa"/>
            <w:tcBorders>
              <w:top w:val="nil"/>
              <w:left w:val="nil"/>
              <w:right w:val="nil"/>
            </w:tcBorders>
            <w:shd w:val="clear" w:color="auto" w:fill="auto"/>
            <w:noWrap/>
            <w:hideMark/>
          </w:tcPr>
          <w:p w14:paraId="0C087A82" w14:textId="26435C14" w:rsidR="00D76689" w:rsidRPr="00AB42F3" w:rsidRDefault="00D76689" w:rsidP="00D76689">
            <w:pPr>
              <w:jc w:val="right"/>
              <w:rPr>
                <w:rFonts w:ascii="Arial" w:hAnsi="Arial" w:cs="Arial"/>
                <w:bCs/>
                <w:color w:val="000000"/>
                <w:sz w:val="16"/>
                <w:szCs w:val="16"/>
                <w:lang w:val="en-US"/>
              </w:rPr>
            </w:pPr>
            <w:r w:rsidRPr="00AB42F3">
              <w:rPr>
                <w:rFonts w:ascii="Arial" w:hAnsi="Arial" w:cs="Arial"/>
                <w:bCs/>
                <w:sz w:val="16"/>
                <w:szCs w:val="16"/>
              </w:rPr>
              <w:t>200,000</w:t>
            </w:r>
          </w:p>
        </w:tc>
      </w:tr>
      <w:tr w:rsidR="00D76689" w:rsidRPr="00B22CED" w14:paraId="00855A8A" w14:textId="77777777" w:rsidTr="0033725E">
        <w:trPr>
          <w:trHeight w:hRule="exact" w:val="170"/>
        </w:trPr>
        <w:tc>
          <w:tcPr>
            <w:tcW w:w="1832" w:type="dxa"/>
            <w:tcBorders>
              <w:top w:val="nil"/>
              <w:left w:val="nil"/>
              <w:right w:val="nil"/>
            </w:tcBorders>
            <w:shd w:val="clear" w:color="auto" w:fill="auto"/>
          </w:tcPr>
          <w:p w14:paraId="62A64806" w14:textId="33A430CF" w:rsidR="00D76689" w:rsidRPr="00991028" w:rsidRDefault="00D76689" w:rsidP="00D76689">
            <w:pPr>
              <w:rPr>
                <w:rFonts w:ascii="Arial" w:hAnsi="Arial" w:cs="Arial"/>
                <w:sz w:val="16"/>
                <w:szCs w:val="16"/>
                <w:lang w:val="en-US"/>
              </w:rPr>
            </w:pPr>
            <w:r w:rsidRPr="003F70A1">
              <w:rPr>
                <w:rFonts w:ascii="Arial" w:hAnsi="Arial" w:cs="Arial"/>
                <w:sz w:val="16"/>
                <w:szCs w:val="16"/>
              </w:rPr>
              <w:t>February 4,</w:t>
            </w:r>
            <w:r>
              <w:rPr>
                <w:rFonts w:ascii="Arial" w:hAnsi="Arial" w:cs="Arial"/>
                <w:sz w:val="16"/>
                <w:szCs w:val="16"/>
              </w:rPr>
              <w:t xml:space="preserve"> </w:t>
            </w:r>
            <w:r w:rsidRPr="003F70A1">
              <w:rPr>
                <w:rFonts w:ascii="Arial" w:hAnsi="Arial" w:cs="Arial"/>
                <w:sz w:val="16"/>
                <w:szCs w:val="16"/>
              </w:rPr>
              <w:t>2026</w:t>
            </w:r>
          </w:p>
        </w:tc>
        <w:tc>
          <w:tcPr>
            <w:tcW w:w="992" w:type="dxa"/>
            <w:tcBorders>
              <w:top w:val="nil"/>
              <w:left w:val="nil"/>
              <w:right w:val="nil"/>
            </w:tcBorders>
            <w:shd w:val="clear" w:color="auto" w:fill="auto"/>
            <w:noWrap/>
          </w:tcPr>
          <w:p w14:paraId="20260BB0" w14:textId="0FFF14FC" w:rsidR="00D76689" w:rsidRPr="00991028" w:rsidRDefault="00D76689" w:rsidP="00D76689">
            <w:pPr>
              <w:ind w:firstLineChars="100" w:firstLine="160"/>
              <w:jc w:val="right"/>
              <w:rPr>
                <w:rFonts w:ascii="Arial" w:hAnsi="Arial" w:cs="Arial"/>
                <w:color w:val="000000"/>
                <w:sz w:val="16"/>
                <w:szCs w:val="16"/>
                <w:lang w:val="en-US"/>
              </w:rPr>
            </w:pPr>
            <w:r w:rsidRPr="003F70A1">
              <w:rPr>
                <w:rFonts w:ascii="Arial" w:hAnsi="Arial" w:cs="Arial"/>
                <w:color w:val="000000"/>
                <w:sz w:val="16"/>
                <w:szCs w:val="16"/>
              </w:rPr>
              <w:t>0.32</w:t>
            </w:r>
          </w:p>
        </w:tc>
        <w:tc>
          <w:tcPr>
            <w:tcW w:w="1095" w:type="dxa"/>
            <w:tcBorders>
              <w:top w:val="nil"/>
              <w:left w:val="nil"/>
              <w:right w:val="nil"/>
            </w:tcBorders>
            <w:shd w:val="clear" w:color="auto" w:fill="auto"/>
            <w:noWrap/>
            <w:vAlign w:val="center"/>
          </w:tcPr>
          <w:p w14:paraId="6E9B1BED" w14:textId="452C1CF7" w:rsidR="00D76689" w:rsidRPr="00991028" w:rsidRDefault="00D76689" w:rsidP="00D76689">
            <w:pPr>
              <w:jc w:val="right"/>
              <w:rPr>
                <w:rFonts w:ascii="Arial" w:hAnsi="Arial" w:cs="Arial"/>
                <w:color w:val="000000"/>
                <w:sz w:val="16"/>
                <w:szCs w:val="16"/>
                <w:lang w:val="en-US"/>
              </w:rPr>
            </w:pPr>
            <w:r w:rsidRPr="003F70A1">
              <w:rPr>
                <w:rFonts w:ascii="Arial" w:hAnsi="Arial" w:cs="Arial"/>
                <w:color w:val="000000"/>
                <w:sz w:val="16"/>
                <w:szCs w:val="16"/>
              </w:rPr>
              <w:t xml:space="preserve">1,750,000 </w:t>
            </w:r>
          </w:p>
        </w:tc>
        <w:tc>
          <w:tcPr>
            <w:tcW w:w="952" w:type="dxa"/>
            <w:tcBorders>
              <w:top w:val="nil"/>
              <w:left w:val="nil"/>
              <w:right w:val="nil"/>
            </w:tcBorders>
            <w:shd w:val="clear" w:color="auto" w:fill="auto"/>
            <w:noWrap/>
          </w:tcPr>
          <w:p w14:paraId="4F8B4DC1" w14:textId="296A000C" w:rsidR="00D76689" w:rsidRPr="00991028" w:rsidRDefault="00D76689" w:rsidP="00D76689">
            <w:pPr>
              <w:jc w:val="right"/>
              <w:rPr>
                <w:rFonts w:ascii="Arial" w:hAnsi="Arial" w:cs="Arial"/>
                <w:color w:val="000000"/>
                <w:sz w:val="16"/>
                <w:szCs w:val="16"/>
                <w:lang w:val="en-US"/>
              </w:rPr>
            </w:pPr>
            <w:r w:rsidRPr="003F70A1">
              <w:rPr>
                <w:rFonts w:ascii="Arial" w:hAnsi="Arial" w:cs="Arial"/>
                <w:color w:val="000000"/>
                <w:sz w:val="16"/>
                <w:szCs w:val="16"/>
                <w:lang w:val="en-US"/>
              </w:rPr>
              <w:t>-</w:t>
            </w:r>
          </w:p>
        </w:tc>
        <w:tc>
          <w:tcPr>
            <w:tcW w:w="993" w:type="dxa"/>
            <w:tcBorders>
              <w:top w:val="nil"/>
              <w:left w:val="nil"/>
              <w:right w:val="nil"/>
            </w:tcBorders>
            <w:shd w:val="clear" w:color="auto" w:fill="auto"/>
          </w:tcPr>
          <w:p w14:paraId="2E32CC4A" w14:textId="5E6AD08E" w:rsidR="00D76689" w:rsidRPr="00991028" w:rsidRDefault="00D76689" w:rsidP="00D76689">
            <w:pPr>
              <w:jc w:val="right"/>
              <w:rPr>
                <w:rFonts w:ascii="Arial" w:hAnsi="Arial" w:cs="Arial"/>
                <w:sz w:val="16"/>
                <w:szCs w:val="16"/>
                <w:lang w:val="en-US"/>
              </w:rPr>
            </w:pPr>
            <w:r w:rsidRPr="003F70A1">
              <w:rPr>
                <w:rFonts w:ascii="Arial" w:hAnsi="Arial" w:cs="Arial"/>
                <w:sz w:val="16"/>
                <w:szCs w:val="16"/>
                <w:lang w:val="en-US"/>
              </w:rPr>
              <w:t>-</w:t>
            </w:r>
          </w:p>
        </w:tc>
        <w:tc>
          <w:tcPr>
            <w:tcW w:w="1559" w:type="dxa"/>
            <w:tcBorders>
              <w:top w:val="nil"/>
              <w:left w:val="nil"/>
              <w:right w:val="nil"/>
            </w:tcBorders>
            <w:shd w:val="clear" w:color="auto" w:fill="auto"/>
          </w:tcPr>
          <w:p w14:paraId="6DD4114A" w14:textId="39A1DD0C" w:rsidR="00D76689" w:rsidRPr="00991028" w:rsidRDefault="00D76689" w:rsidP="00D76689">
            <w:pPr>
              <w:ind w:firstLineChars="100" w:firstLine="160"/>
              <w:jc w:val="right"/>
              <w:rPr>
                <w:rFonts w:ascii="Arial" w:hAnsi="Arial" w:cs="Arial"/>
                <w:sz w:val="16"/>
                <w:szCs w:val="16"/>
                <w:lang w:val="en-US"/>
              </w:rPr>
            </w:pPr>
            <w:r w:rsidRPr="003F70A1">
              <w:rPr>
                <w:rFonts w:ascii="Arial" w:hAnsi="Arial" w:cs="Arial"/>
                <w:sz w:val="16"/>
                <w:szCs w:val="16"/>
                <w:lang w:val="en-US"/>
              </w:rPr>
              <w:t>-</w:t>
            </w:r>
          </w:p>
        </w:tc>
        <w:tc>
          <w:tcPr>
            <w:tcW w:w="1276" w:type="dxa"/>
            <w:tcBorders>
              <w:top w:val="nil"/>
              <w:left w:val="nil"/>
              <w:right w:val="nil"/>
            </w:tcBorders>
            <w:shd w:val="clear" w:color="auto" w:fill="auto"/>
            <w:noWrap/>
          </w:tcPr>
          <w:p w14:paraId="7BA83EFD" w14:textId="3FF9A150" w:rsidR="00D76689" w:rsidRPr="00AB42F3" w:rsidRDefault="00D76689" w:rsidP="00D76689">
            <w:pPr>
              <w:jc w:val="right"/>
              <w:rPr>
                <w:rFonts w:ascii="Arial" w:hAnsi="Arial" w:cs="Arial"/>
                <w:bCs/>
                <w:color w:val="000000"/>
                <w:sz w:val="16"/>
                <w:szCs w:val="16"/>
                <w:lang w:val="en-US"/>
              </w:rPr>
            </w:pPr>
            <w:r w:rsidRPr="00AB42F3">
              <w:rPr>
                <w:rFonts w:ascii="Arial" w:hAnsi="Arial" w:cs="Arial"/>
                <w:bCs/>
                <w:sz w:val="16"/>
                <w:szCs w:val="16"/>
              </w:rPr>
              <w:t>1,750,000</w:t>
            </w:r>
          </w:p>
        </w:tc>
      </w:tr>
      <w:tr w:rsidR="00D76689" w:rsidRPr="00B22CED" w14:paraId="1CEFE953" w14:textId="77777777" w:rsidTr="0033725E">
        <w:trPr>
          <w:trHeight w:hRule="exact" w:val="170"/>
        </w:trPr>
        <w:tc>
          <w:tcPr>
            <w:tcW w:w="1832" w:type="dxa"/>
            <w:tcBorders>
              <w:top w:val="nil"/>
              <w:left w:val="nil"/>
              <w:right w:val="nil"/>
            </w:tcBorders>
            <w:shd w:val="clear" w:color="auto" w:fill="auto"/>
          </w:tcPr>
          <w:p w14:paraId="3D83635C" w14:textId="4596DBF7" w:rsidR="00D76689" w:rsidRDefault="00D76689" w:rsidP="00D76689">
            <w:pPr>
              <w:rPr>
                <w:rFonts w:ascii="Arial" w:hAnsi="Arial" w:cs="Arial"/>
                <w:sz w:val="16"/>
                <w:szCs w:val="16"/>
                <w:lang w:val="en-US"/>
              </w:rPr>
            </w:pPr>
            <w:r w:rsidRPr="003F70A1">
              <w:rPr>
                <w:rFonts w:ascii="Arial" w:hAnsi="Arial" w:cs="Arial"/>
                <w:sz w:val="16"/>
                <w:szCs w:val="16"/>
              </w:rPr>
              <w:t>April 27,</w:t>
            </w:r>
            <w:r>
              <w:rPr>
                <w:rFonts w:ascii="Arial" w:hAnsi="Arial" w:cs="Arial"/>
                <w:sz w:val="16"/>
                <w:szCs w:val="16"/>
              </w:rPr>
              <w:t xml:space="preserve"> </w:t>
            </w:r>
            <w:r w:rsidRPr="003F70A1">
              <w:rPr>
                <w:rFonts w:ascii="Arial" w:hAnsi="Arial" w:cs="Arial"/>
                <w:sz w:val="16"/>
                <w:szCs w:val="16"/>
              </w:rPr>
              <w:t>2026</w:t>
            </w:r>
          </w:p>
        </w:tc>
        <w:tc>
          <w:tcPr>
            <w:tcW w:w="992" w:type="dxa"/>
            <w:tcBorders>
              <w:top w:val="nil"/>
              <w:left w:val="nil"/>
              <w:right w:val="nil"/>
            </w:tcBorders>
            <w:shd w:val="clear" w:color="auto" w:fill="auto"/>
            <w:noWrap/>
          </w:tcPr>
          <w:p w14:paraId="74878F3E" w14:textId="4B5FCC83" w:rsidR="00D76689" w:rsidRDefault="00D76689" w:rsidP="00D76689">
            <w:pPr>
              <w:ind w:firstLineChars="100" w:firstLine="160"/>
              <w:jc w:val="right"/>
              <w:rPr>
                <w:rFonts w:ascii="Arial" w:hAnsi="Arial" w:cs="Arial"/>
                <w:color w:val="000000"/>
                <w:sz w:val="16"/>
                <w:szCs w:val="16"/>
                <w:lang w:val="en-US"/>
              </w:rPr>
            </w:pPr>
            <w:r w:rsidRPr="003F70A1">
              <w:rPr>
                <w:rFonts w:ascii="Arial" w:hAnsi="Arial" w:cs="Arial"/>
                <w:color w:val="000000"/>
                <w:sz w:val="16"/>
                <w:szCs w:val="16"/>
              </w:rPr>
              <w:t>0.32</w:t>
            </w:r>
          </w:p>
        </w:tc>
        <w:tc>
          <w:tcPr>
            <w:tcW w:w="1095" w:type="dxa"/>
            <w:tcBorders>
              <w:top w:val="nil"/>
              <w:left w:val="nil"/>
              <w:right w:val="nil"/>
            </w:tcBorders>
            <w:shd w:val="clear" w:color="auto" w:fill="auto"/>
            <w:noWrap/>
            <w:vAlign w:val="center"/>
          </w:tcPr>
          <w:p w14:paraId="0F8F4107" w14:textId="64EDBDE6" w:rsidR="00D76689" w:rsidRDefault="00D76689" w:rsidP="00D76689">
            <w:pPr>
              <w:jc w:val="right"/>
              <w:rPr>
                <w:rFonts w:ascii="Arial" w:hAnsi="Arial" w:cs="Arial"/>
                <w:color w:val="000000"/>
                <w:sz w:val="16"/>
                <w:szCs w:val="16"/>
                <w:lang w:val="en-US"/>
              </w:rPr>
            </w:pPr>
            <w:r w:rsidRPr="003F70A1">
              <w:rPr>
                <w:rFonts w:ascii="Arial" w:hAnsi="Arial" w:cs="Arial"/>
                <w:color w:val="000000"/>
                <w:sz w:val="16"/>
                <w:szCs w:val="16"/>
              </w:rPr>
              <w:t xml:space="preserve">200,000 </w:t>
            </w:r>
          </w:p>
        </w:tc>
        <w:tc>
          <w:tcPr>
            <w:tcW w:w="952" w:type="dxa"/>
            <w:tcBorders>
              <w:top w:val="nil"/>
              <w:left w:val="nil"/>
              <w:right w:val="nil"/>
            </w:tcBorders>
            <w:shd w:val="clear" w:color="auto" w:fill="auto"/>
            <w:noWrap/>
          </w:tcPr>
          <w:p w14:paraId="05BE54A1" w14:textId="47EF2194" w:rsidR="00D76689" w:rsidRDefault="00D76689" w:rsidP="00D76689">
            <w:pPr>
              <w:jc w:val="right"/>
              <w:rPr>
                <w:rFonts w:ascii="Arial" w:hAnsi="Arial" w:cs="Arial"/>
                <w:color w:val="000000"/>
                <w:sz w:val="16"/>
                <w:szCs w:val="16"/>
                <w:lang w:val="en-US"/>
              </w:rPr>
            </w:pPr>
            <w:r w:rsidRPr="003F70A1">
              <w:rPr>
                <w:rFonts w:ascii="Arial" w:hAnsi="Arial" w:cs="Arial"/>
                <w:color w:val="000000"/>
                <w:sz w:val="16"/>
                <w:szCs w:val="16"/>
                <w:lang w:val="en-US"/>
              </w:rPr>
              <w:t>-</w:t>
            </w:r>
          </w:p>
        </w:tc>
        <w:tc>
          <w:tcPr>
            <w:tcW w:w="993" w:type="dxa"/>
            <w:tcBorders>
              <w:top w:val="nil"/>
              <w:left w:val="nil"/>
              <w:right w:val="nil"/>
            </w:tcBorders>
            <w:shd w:val="clear" w:color="auto" w:fill="auto"/>
          </w:tcPr>
          <w:p w14:paraId="71C168F8" w14:textId="4F199F13" w:rsidR="00D76689" w:rsidRDefault="00D76689" w:rsidP="00D76689">
            <w:pPr>
              <w:jc w:val="right"/>
              <w:rPr>
                <w:rFonts w:ascii="Arial" w:hAnsi="Arial" w:cs="Arial"/>
                <w:sz w:val="16"/>
                <w:szCs w:val="16"/>
                <w:lang w:val="en-US"/>
              </w:rPr>
            </w:pPr>
            <w:r w:rsidRPr="003F70A1">
              <w:rPr>
                <w:rFonts w:ascii="Arial" w:hAnsi="Arial" w:cs="Arial"/>
                <w:sz w:val="16"/>
                <w:szCs w:val="16"/>
                <w:lang w:val="en-US"/>
              </w:rPr>
              <w:t>-</w:t>
            </w:r>
          </w:p>
        </w:tc>
        <w:tc>
          <w:tcPr>
            <w:tcW w:w="1559" w:type="dxa"/>
            <w:tcBorders>
              <w:top w:val="nil"/>
              <w:left w:val="nil"/>
              <w:right w:val="nil"/>
            </w:tcBorders>
            <w:shd w:val="clear" w:color="auto" w:fill="auto"/>
          </w:tcPr>
          <w:p w14:paraId="23E4F30C" w14:textId="6C259C0B" w:rsidR="00D76689" w:rsidRDefault="00D76689" w:rsidP="00D76689">
            <w:pPr>
              <w:ind w:firstLineChars="100" w:firstLine="160"/>
              <w:jc w:val="right"/>
              <w:rPr>
                <w:rFonts w:ascii="Arial" w:hAnsi="Arial" w:cs="Arial"/>
                <w:sz w:val="16"/>
                <w:szCs w:val="16"/>
                <w:lang w:val="en-US"/>
              </w:rPr>
            </w:pPr>
            <w:r w:rsidRPr="003F70A1">
              <w:rPr>
                <w:rFonts w:ascii="Arial" w:hAnsi="Arial" w:cs="Arial"/>
                <w:sz w:val="16"/>
                <w:szCs w:val="16"/>
                <w:lang w:val="en-US"/>
              </w:rPr>
              <w:t>-</w:t>
            </w:r>
          </w:p>
        </w:tc>
        <w:tc>
          <w:tcPr>
            <w:tcW w:w="1276" w:type="dxa"/>
            <w:tcBorders>
              <w:top w:val="nil"/>
              <w:left w:val="nil"/>
              <w:right w:val="nil"/>
            </w:tcBorders>
            <w:shd w:val="clear" w:color="auto" w:fill="auto"/>
            <w:noWrap/>
          </w:tcPr>
          <w:p w14:paraId="214CDE11" w14:textId="2DAFE0FF" w:rsidR="00D76689" w:rsidRPr="00AB42F3" w:rsidRDefault="00D76689" w:rsidP="00D76689">
            <w:pPr>
              <w:jc w:val="right"/>
              <w:rPr>
                <w:rFonts w:ascii="Arial" w:hAnsi="Arial" w:cs="Arial"/>
                <w:bCs/>
                <w:color w:val="000000"/>
                <w:sz w:val="16"/>
                <w:szCs w:val="16"/>
                <w:lang w:val="en-US"/>
              </w:rPr>
            </w:pPr>
            <w:r w:rsidRPr="00AB42F3">
              <w:rPr>
                <w:rFonts w:ascii="Arial" w:hAnsi="Arial" w:cs="Arial"/>
                <w:bCs/>
                <w:sz w:val="16"/>
                <w:szCs w:val="16"/>
              </w:rPr>
              <w:t>200,000</w:t>
            </w:r>
          </w:p>
        </w:tc>
      </w:tr>
      <w:tr w:rsidR="00D76689" w:rsidRPr="00B22CED" w14:paraId="3C89D1EE" w14:textId="77777777" w:rsidTr="0033725E">
        <w:trPr>
          <w:trHeight w:hRule="exact" w:val="170"/>
        </w:trPr>
        <w:tc>
          <w:tcPr>
            <w:tcW w:w="1832" w:type="dxa"/>
            <w:tcBorders>
              <w:top w:val="nil"/>
              <w:left w:val="nil"/>
              <w:right w:val="nil"/>
            </w:tcBorders>
            <w:shd w:val="clear" w:color="auto" w:fill="auto"/>
          </w:tcPr>
          <w:p w14:paraId="4B49E5E7" w14:textId="67E1D13B" w:rsidR="00D76689" w:rsidRPr="00991028" w:rsidRDefault="00D76689" w:rsidP="00D76689">
            <w:pPr>
              <w:rPr>
                <w:rFonts w:ascii="Arial" w:hAnsi="Arial" w:cs="Arial"/>
                <w:sz w:val="16"/>
                <w:szCs w:val="16"/>
                <w:lang w:val="en-US"/>
              </w:rPr>
            </w:pPr>
            <w:r>
              <w:rPr>
                <w:rFonts w:ascii="Arial" w:hAnsi="Arial" w:cs="Arial"/>
                <w:sz w:val="16"/>
                <w:szCs w:val="16"/>
              </w:rPr>
              <w:t>September 1, 2027</w:t>
            </w:r>
          </w:p>
        </w:tc>
        <w:tc>
          <w:tcPr>
            <w:tcW w:w="992" w:type="dxa"/>
            <w:tcBorders>
              <w:top w:val="nil"/>
              <w:left w:val="nil"/>
              <w:right w:val="nil"/>
            </w:tcBorders>
            <w:shd w:val="clear" w:color="auto" w:fill="auto"/>
            <w:noWrap/>
          </w:tcPr>
          <w:p w14:paraId="6D05A8C1" w14:textId="669E32A0" w:rsidR="00D76689" w:rsidRPr="00991028" w:rsidRDefault="00D76689" w:rsidP="00D76689">
            <w:pPr>
              <w:ind w:firstLineChars="100" w:firstLine="160"/>
              <w:jc w:val="right"/>
              <w:rPr>
                <w:rFonts w:ascii="Arial" w:hAnsi="Arial" w:cs="Arial"/>
                <w:color w:val="000000"/>
                <w:sz w:val="16"/>
                <w:szCs w:val="16"/>
                <w:lang w:val="en-US"/>
              </w:rPr>
            </w:pPr>
            <w:r w:rsidRPr="003F70A1">
              <w:rPr>
                <w:rFonts w:ascii="Arial" w:hAnsi="Arial" w:cs="Arial"/>
                <w:color w:val="000000"/>
                <w:sz w:val="16"/>
                <w:szCs w:val="16"/>
              </w:rPr>
              <w:t>0.25</w:t>
            </w:r>
          </w:p>
        </w:tc>
        <w:tc>
          <w:tcPr>
            <w:tcW w:w="1095" w:type="dxa"/>
            <w:tcBorders>
              <w:top w:val="nil"/>
              <w:left w:val="nil"/>
              <w:right w:val="nil"/>
            </w:tcBorders>
            <w:shd w:val="clear" w:color="auto" w:fill="auto"/>
            <w:noWrap/>
          </w:tcPr>
          <w:p w14:paraId="0D27EC27" w14:textId="6CD17387" w:rsidR="00D76689" w:rsidRPr="00991028" w:rsidRDefault="00A10E12" w:rsidP="00D76689">
            <w:pPr>
              <w:jc w:val="right"/>
              <w:rPr>
                <w:rFonts w:ascii="Arial" w:hAnsi="Arial" w:cs="Arial"/>
                <w:color w:val="000000"/>
                <w:sz w:val="16"/>
                <w:szCs w:val="16"/>
                <w:lang w:val="en-US"/>
              </w:rPr>
            </w:pPr>
            <w:r>
              <w:rPr>
                <w:rFonts w:ascii="Arial" w:hAnsi="Arial" w:cs="Arial"/>
                <w:color w:val="000000"/>
                <w:sz w:val="16"/>
                <w:szCs w:val="16"/>
                <w:lang w:val="en-US"/>
              </w:rPr>
              <w:t>-</w:t>
            </w:r>
          </w:p>
        </w:tc>
        <w:tc>
          <w:tcPr>
            <w:tcW w:w="952" w:type="dxa"/>
            <w:tcBorders>
              <w:top w:val="nil"/>
              <w:left w:val="nil"/>
              <w:right w:val="nil"/>
            </w:tcBorders>
            <w:shd w:val="clear" w:color="auto" w:fill="auto"/>
            <w:noWrap/>
          </w:tcPr>
          <w:p w14:paraId="4F9B4758" w14:textId="31981B83" w:rsidR="00D76689" w:rsidRPr="00991028" w:rsidRDefault="00D76689" w:rsidP="00D76689">
            <w:pPr>
              <w:jc w:val="right"/>
              <w:rPr>
                <w:rFonts w:ascii="Arial" w:hAnsi="Arial" w:cs="Arial"/>
                <w:color w:val="000000"/>
                <w:sz w:val="16"/>
                <w:szCs w:val="16"/>
                <w:lang w:val="en-US"/>
              </w:rPr>
            </w:pPr>
            <w:r w:rsidRPr="003F70A1">
              <w:rPr>
                <w:rFonts w:ascii="Arial" w:hAnsi="Arial" w:cs="Arial"/>
                <w:color w:val="000000"/>
                <w:sz w:val="16"/>
                <w:szCs w:val="16"/>
                <w:lang w:val="en-US"/>
              </w:rPr>
              <w:t>3,155,000</w:t>
            </w:r>
          </w:p>
        </w:tc>
        <w:tc>
          <w:tcPr>
            <w:tcW w:w="993" w:type="dxa"/>
            <w:tcBorders>
              <w:top w:val="nil"/>
              <w:left w:val="nil"/>
              <w:right w:val="nil"/>
            </w:tcBorders>
            <w:shd w:val="clear" w:color="auto" w:fill="auto"/>
          </w:tcPr>
          <w:p w14:paraId="130CD722" w14:textId="3A4A010C" w:rsidR="00D76689" w:rsidRPr="00991028" w:rsidRDefault="00A10E12" w:rsidP="00D76689">
            <w:pPr>
              <w:jc w:val="right"/>
              <w:rPr>
                <w:rFonts w:ascii="Arial" w:hAnsi="Arial" w:cs="Arial"/>
                <w:sz w:val="16"/>
                <w:szCs w:val="16"/>
                <w:lang w:val="en-US"/>
              </w:rPr>
            </w:pPr>
            <w:r>
              <w:rPr>
                <w:rFonts w:ascii="Arial" w:hAnsi="Arial" w:cs="Arial"/>
                <w:sz w:val="16"/>
                <w:szCs w:val="16"/>
                <w:lang w:val="en-US"/>
              </w:rPr>
              <w:t>-</w:t>
            </w:r>
          </w:p>
        </w:tc>
        <w:tc>
          <w:tcPr>
            <w:tcW w:w="1559" w:type="dxa"/>
            <w:tcBorders>
              <w:top w:val="nil"/>
              <w:left w:val="nil"/>
              <w:right w:val="nil"/>
            </w:tcBorders>
            <w:shd w:val="clear" w:color="auto" w:fill="auto"/>
          </w:tcPr>
          <w:p w14:paraId="6EA5F6DC" w14:textId="4416FEB4" w:rsidR="00D76689" w:rsidRPr="00991028" w:rsidRDefault="00A10E12" w:rsidP="00D76689">
            <w:pPr>
              <w:ind w:firstLineChars="100" w:firstLine="160"/>
              <w:jc w:val="right"/>
              <w:rPr>
                <w:rFonts w:ascii="Arial" w:hAnsi="Arial" w:cs="Arial"/>
                <w:sz w:val="16"/>
                <w:szCs w:val="16"/>
                <w:lang w:val="en-US"/>
              </w:rPr>
            </w:pPr>
            <w:r>
              <w:rPr>
                <w:rFonts w:ascii="Arial" w:hAnsi="Arial" w:cs="Arial"/>
                <w:sz w:val="16"/>
                <w:szCs w:val="16"/>
                <w:lang w:val="en-US"/>
              </w:rPr>
              <w:t>-</w:t>
            </w:r>
          </w:p>
        </w:tc>
        <w:tc>
          <w:tcPr>
            <w:tcW w:w="1276" w:type="dxa"/>
            <w:tcBorders>
              <w:top w:val="nil"/>
              <w:left w:val="nil"/>
              <w:right w:val="nil"/>
            </w:tcBorders>
            <w:shd w:val="clear" w:color="auto" w:fill="auto"/>
            <w:noWrap/>
          </w:tcPr>
          <w:p w14:paraId="6FFC4902" w14:textId="5278C288" w:rsidR="00D76689" w:rsidRPr="00AB42F3" w:rsidRDefault="00D76689" w:rsidP="00D76689">
            <w:pPr>
              <w:jc w:val="right"/>
              <w:rPr>
                <w:rFonts w:ascii="Arial" w:hAnsi="Arial" w:cs="Arial"/>
                <w:bCs/>
                <w:color w:val="000000"/>
                <w:sz w:val="16"/>
                <w:szCs w:val="16"/>
                <w:lang w:val="en-US"/>
              </w:rPr>
            </w:pPr>
            <w:r w:rsidRPr="00AB42F3">
              <w:rPr>
                <w:rFonts w:ascii="Arial" w:hAnsi="Arial" w:cs="Arial"/>
                <w:bCs/>
                <w:sz w:val="16"/>
                <w:szCs w:val="16"/>
              </w:rPr>
              <w:t>3,155,000</w:t>
            </w:r>
          </w:p>
        </w:tc>
      </w:tr>
      <w:tr w:rsidR="00D76689" w:rsidRPr="00B22CED" w14:paraId="6BB1EB24" w14:textId="77777777" w:rsidTr="0033725E">
        <w:trPr>
          <w:trHeight w:hRule="exact" w:val="327"/>
        </w:trPr>
        <w:tc>
          <w:tcPr>
            <w:tcW w:w="1832" w:type="dxa"/>
            <w:tcBorders>
              <w:top w:val="single" w:sz="4" w:space="0" w:color="auto"/>
              <w:left w:val="nil"/>
              <w:bottom w:val="single" w:sz="4" w:space="0" w:color="auto"/>
              <w:right w:val="nil"/>
            </w:tcBorders>
            <w:shd w:val="clear" w:color="auto" w:fill="auto"/>
            <w:vAlign w:val="bottom"/>
          </w:tcPr>
          <w:p w14:paraId="1BACD555" w14:textId="488BC21D" w:rsidR="00D76689" w:rsidRDefault="00D76689" w:rsidP="00D76689">
            <w:pPr>
              <w:rPr>
                <w:rFonts w:ascii="Arial" w:hAnsi="Arial" w:cs="Arial"/>
                <w:sz w:val="16"/>
                <w:szCs w:val="16"/>
                <w:lang w:val="en-US"/>
              </w:rPr>
            </w:pPr>
            <w:r w:rsidRPr="00991028">
              <w:rPr>
                <w:rFonts w:ascii="Arial" w:hAnsi="Arial" w:cs="Arial"/>
                <w:sz w:val="16"/>
                <w:szCs w:val="16"/>
                <w:lang w:val="en-US"/>
              </w:rPr>
              <w:t>Total</w:t>
            </w:r>
          </w:p>
        </w:tc>
        <w:tc>
          <w:tcPr>
            <w:tcW w:w="992" w:type="dxa"/>
            <w:tcBorders>
              <w:top w:val="single" w:sz="4" w:space="0" w:color="auto"/>
              <w:left w:val="nil"/>
              <w:bottom w:val="single" w:sz="4" w:space="0" w:color="auto"/>
              <w:right w:val="nil"/>
            </w:tcBorders>
            <w:shd w:val="clear" w:color="auto" w:fill="auto"/>
            <w:noWrap/>
            <w:vAlign w:val="bottom"/>
          </w:tcPr>
          <w:p w14:paraId="5080E908" w14:textId="5E881E62" w:rsidR="00D76689" w:rsidRPr="00B22CED" w:rsidRDefault="00D76689" w:rsidP="00D76689">
            <w:pPr>
              <w:ind w:firstLineChars="100" w:firstLine="200"/>
              <w:jc w:val="right"/>
              <w:rPr>
                <w:rFonts w:ascii="Arial" w:hAnsi="Arial" w:cs="Arial"/>
                <w:color w:val="000000"/>
                <w:sz w:val="16"/>
                <w:szCs w:val="16"/>
                <w:lang w:val="en-US"/>
              </w:rPr>
            </w:pPr>
            <w:r w:rsidRPr="00991028">
              <w:rPr>
                <w:color w:val="000000"/>
                <w:sz w:val="20"/>
                <w:szCs w:val="20"/>
                <w:lang w:val="en-US"/>
              </w:rPr>
              <w:t> </w:t>
            </w:r>
          </w:p>
        </w:tc>
        <w:tc>
          <w:tcPr>
            <w:tcW w:w="1095" w:type="dxa"/>
            <w:tcBorders>
              <w:top w:val="single" w:sz="4" w:space="0" w:color="auto"/>
              <w:left w:val="nil"/>
              <w:bottom w:val="single" w:sz="4" w:space="0" w:color="auto"/>
              <w:right w:val="nil"/>
            </w:tcBorders>
            <w:shd w:val="clear" w:color="auto" w:fill="auto"/>
            <w:noWrap/>
            <w:vAlign w:val="center"/>
          </w:tcPr>
          <w:p w14:paraId="7C78B8DC" w14:textId="53896482" w:rsidR="00D76689" w:rsidRPr="00B22CED" w:rsidRDefault="00D76689" w:rsidP="00D76689">
            <w:pPr>
              <w:jc w:val="right"/>
              <w:rPr>
                <w:rFonts w:ascii="Arial" w:hAnsi="Arial" w:cs="Arial"/>
                <w:color w:val="000000"/>
                <w:sz w:val="16"/>
                <w:szCs w:val="16"/>
                <w:lang w:val="en-US"/>
              </w:rPr>
            </w:pPr>
            <w:r w:rsidRPr="003F70A1">
              <w:rPr>
                <w:rFonts w:ascii="Arial" w:hAnsi="Arial" w:cs="Arial"/>
                <w:color w:val="000000"/>
                <w:sz w:val="16"/>
                <w:szCs w:val="16"/>
              </w:rPr>
              <w:t>7,760,000</w:t>
            </w:r>
          </w:p>
        </w:tc>
        <w:tc>
          <w:tcPr>
            <w:tcW w:w="952" w:type="dxa"/>
            <w:tcBorders>
              <w:top w:val="single" w:sz="4" w:space="0" w:color="auto"/>
              <w:left w:val="nil"/>
              <w:bottom w:val="single" w:sz="4" w:space="0" w:color="auto"/>
              <w:right w:val="nil"/>
            </w:tcBorders>
            <w:shd w:val="clear" w:color="auto" w:fill="auto"/>
            <w:noWrap/>
            <w:vAlign w:val="center"/>
          </w:tcPr>
          <w:p w14:paraId="3E58D1C6" w14:textId="6653297F" w:rsidR="00D76689" w:rsidRPr="00B22CED" w:rsidRDefault="00D76689" w:rsidP="00D76689">
            <w:pPr>
              <w:jc w:val="right"/>
              <w:rPr>
                <w:rFonts w:ascii="Arial" w:hAnsi="Arial" w:cs="Arial"/>
                <w:color w:val="000000"/>
                <w:sz w:val="16"/>
                <w:szCs w:val="16"/>
                <w:lang w:val="en-US"/>
              </w:rPr>
            </w:pPr>
            <w:r w:rsidRPr="003F70A1">
              <w:rPr>
                <w:rFonts w:ascii="Arial" w:hAnsi="Arial" w:cs="Arial"/>
                <w:color w:val="000000"/>
                <w:sz w:val="16"/>
                <w:szCs w:val="16"/>
              </w:rPr>
              <w:t>3,155,000</w:t>
            </w:r>
          </w:p>
        </w:tc>
        <w:tc>
          <w:tcPr>
            <w:tcW w:w="993" w:type="dxa"/>
            <w:tcBorders>
              <w:top w:val="single" w:sz="4" w:space="0" w:color="auto"/>
              <w:left w:val="nil"/>
              <w:bottom w:val="single" w:sz="4" w:space="0" w:color="auto"/>
              <w:right w:val="nil"/>
            </w:tcBorders>
            <w:shd w:val="clear" w:color="auto" w:fill="auto"/>
            <w:vAlign w:val="center"/>
          </w:tcPr>
          <w:p w14:paraId="70746A86" w14:textId="0A1B38AE" w:rsidR="00D76689" w:rsidRPr="00B22CED" w:rsidRDefault="00D76689" w:rsidP="00D76689">
            <w:pPr>
              <w:jc w:val="right"/>
              <w:rPr>
                <w:rFonts w:ascii="Arial" w:hAnsi="Arial" w:cs="Arial"/>
                <w:sz w:val="16"/>
                <w:szCs w:val="16"/>
                <w:lang w:val="en-US"/>
              </w:rPr>
            </w:pPr>
            <w:r w:rsidRPr="003F70A1">
              <w:rPr>
                <w:rFonts w:ascii="Arial" w:hAnsi="Arial" w:cs="Arial"/>
                <w:sz w:val="16"/>
                <w:szCs w:val="16"/>
              </w:rPr>
              <w:t xml:space="preserve">  (690,000)</w:t>
            </w:r>
          </w:p>
        </w:tc>
        <w:tc>
          <w:tcPr>
            <w:tcW w:w="1559" w:type="dxa"/>
            <w:tcBorders>
              <w:top w:val="single" w:sz="4" w:space="0" w:color="auto"/>
              <w:left w:val="nil"/>
              <w:bottom w:val="single" w:sz="4" w:space="0" w:color="auto"/>
              <w:right w:val="nil"/>
            </w:tcBorders>
            <w:shd w:val="clear" w:color="auto" w:fill="auto"/>
            <w:vAlign w:val="center"/>
          </w:tcPr>
          <w:p w14:paraId="3D278F77" w14:textId="07472F69" w:rsidR="00D76689" w:rsidRPr="00B22CED" w:rsidRDefault="00D76689" w:rsidP="00D76689">
            <w:pPr>
              <w:jc w:val="right"/>
              <w:rPr>
                <w:rFonts w:ascii="Arial" w:hAnsi="Arial" w:cs="Arial"/>
                <w:sz w:val="16"/>
                <w:szCs w:val="16"/>
                <w:lang w:val="en-US"/>
              </w:rPr>
            </w:pPr>
            <w:r w:rsidRPr="003F70A1">
              <w:rPr>
                <w:rFonts w:ascii="Arial" w:hAnsi="Arial" w:cs="Arial"/>
                <w:sz w:val="16"/>
                <w:szCs w:val="16"/>
              </w:rPr>
              <w:t xml:space="preserve">        (1,600,000)</w:t>
            </w:r>
          </w:p>
        </w:tc>
        <w:tc>
          <w:tcPr>
            <w:tcW w:w="1276" w:type="dxa"/>
            <w:tcBorders>
              <w:top w:val="single" w:sz="4" w:space="0" w:color="auto"/>
              <w:left w:val="nil"/>
              <w:bottom w:val="single" w:sz="4" w:space="0" w:color="auto"/>
              <w:right w:val="nil"/>
            </w:tcBorders>
            <w:shd w:val="clear" w:color="auto" w:fill="auto"/>
            <w:noWrap/>
            <w:vAlign w:val="center"/>
          </w:tcPr>
          <w:p w14:paraId="31B79A94" w14:textId="011FAFBC" w:rsidR="00D76689" w:rsidRPr="00AB42F3" w:rsidRDefault="00D76689" w:rsidP="00D76689">
            <w:pPr>
              <w:jc w:val="right"/>
              <w:rPr>
                <w:rFonts w:ascii="Arial" w:hAnsi="Arial" w:cs="Arial"/>
                <w:bCs/>
                <w:color w:val="000000"/>
                <w:sz w:val="16"/>
                <w:szCs w:val="16"/>
                <w:lang w:val="en-US"/>
              </w:rPr>
            </w:pPr>
            <w:r w:rsidRPr="00AB42F3">
              <w:rPr>
                <w:rFonts w:ascii="Arial" w:hAnsi="Arial" w:cs="Arial"/>
                <w:bCs/>
                <w:color w:val="000000"/>
                <w:sz w:val="16"/>
                <w:szCs w:val="16"/>
              </w:rPr>
              <w:t>8,625,000</w:t>
            </w:r>
          </w:p>
        </w:tc>
      </w:tr>
      <w:tr w:rsidR="00D76689" w:rsidRPr="00B22CED" w14:paraId="7FCE5847" w14:textId="77777777" w:rsidTr="00860851">
        <w:trPr>
          <w:trHeight w:val="262"/>
        </w:trPr>
        <w:tc>
          <w:tcPr>
            <w:tcW w:w="1832" w:type="dxa"/>
            <w:tcBorders>
              <w:top w:val="single" w:sz="4" w:space="0" w:color="auto"/>
              <w:left w:val="nil"/>
              <w:bottom w:val="single" w:sz="4" w:space="0" w:color="auto"/>
              <w:right w:val="nil"/>
            </w:tcBorders>
            <w:shd w:val="clear" w:color="auto" w:fill="auto"/>
            <w:vAlign w:val="bottom"/>
            <w:hideMark/>
          </w:tcPr>
          <w:p w14:paraId="2396B9F1" w14:textId="605EE677" w:rsidR="00D76689" w:rsidRPr="0053563E" w:rsidRDefault="00D76689" w:rsidP="00D76689">
            <w:pPr>
              <w:rPr>
                <w:rFonts w:ascii="Arial" w:hAnsi="Arial" w:cs="Arial"/>
                <w:sz w:val="16"/>
                <w:szCs w:val="16"/>
                <w:lang w:val="en-US"/>
              </w:rPr>
            </w:pPr>
            <w:r w:rsidRPr="00991028">
              <w:rPr>
                <w:rFonts w:ascii="Arial" w:hAnsi="Arial" w:cs="Arial"/>
                <w:sz w:val="16"/>
              </w:rPr>
              <w:t>Wei</w:t>
            </w:r>
            <w:r>
              <w:rPr>
                <w:rFonts w:ascii="Arial" w:hAnsi="Arial" w:cs="Arial"/>
                <w:sz w:val="16"/>
              </w:rPr>
              <w:t>g</w:t>
            </w:r>
            <w:r w:rsidRPr="00991028">
              <w:rPr>
                <w:rFonts w:ascii="Arial" w:hAnsi="Arial" w:cs="Arial"/>
                <w:sz w:val="16"/>
              </w:rPr>
              <w:t>hted Average exercise price</w:t>
            </w:r>
          </w:p>
        </w:tc>
        <w:tc>
          <w:tcPr>
            <w:tcW w:w="992" w:type="dxa"/>
            <w:tcBorders>
              <w:top w:val="single" w:sz="4" w:space="0" w:color="auto"/>
              <w:left w:val="nil"/>
              <w:bottom w:val="single" w:sz="4" w:space="0" w:color="auto"/>
              <w:right w:val="nil"/>
            </w:tcBorders>
            <w:shd w:val="clear" w:color="auto" w:fill="auto"/>
            <w:vAlign w:val="bottom"/>
            <w:hideMark/>
          </w:tcPr>
          <w:p w14:paraId="686821BF" w14:textId="33BC4B9B" w:rsidR="00D76689" w:rsidRPr="00B22CED" w:rsidRDefault="00D76689" w:rsidP="00D76689">
            <w:pPr>
              <w:jc w:val="right"/>
              <w:rPr>
                <w:color w:val="000000"/>
                <w:sz w:val="20"/>
                <w:szCs w:val="20"/>
                <w:lang w:val="en-US"/>
              </w:rPr>
            </w:pPr>
          </w:p>
        </w:tc>
        <w:tc>
          <w:tcPr>
            <w:tcW w:w="1095" w:type="dxa"/>
            <w:tcBorders>
              <w:top w:val="single" w:sz="4" w:space="0" w:color="auto"/>
              <w:left w:val="nil"/>
              <w:bottom w:val="single" w:sz="4" w:space="0" w:color="auto"/>
              <w:right w:val="nil"/>
            </w:tcBorders>
            <w:shd w:val="clear" w:color="auto" w:fill="auto"/>
            <w:noWrap/>
            <w:vAlign w:val="bottom"/>
            <w:hideMark/>
          </w:tcPr>
          <w:p w14:paraId="7DE39C5C" w14:textId="42CDFC67" w:rsidR="00D76689" w:rsidRPr="00B22CED" w:rsidRDefault="00D76689" w:rsidP="00D76689">
            <w:pPr>
              <w:ind w:firstLineChars="100" w:firstLine="160"/>
              <w:jc w:val="right"/>
              <w:rPr>
                <w:rFonts w:ascii="Arial" w:hAnsi="Arial" w:cs="Arial"/>
                <w:color w:val="000000"/>
                <w:sz w:val="16"/>
                <w:szCs w:val="16"/>
                <w:lang w:val="en-US"/>
              </w:rPr>
            </w:pPr>
            <w:r w:rsidRPr="003F70A1">
              <w:rPr>
                <w:rFonts w:ascii="Arial" w:hAnsi="Arial" w:cs="Arial"/>
                <w:color w:val="000000"/>
                <w:sz w:val="16"/>
                <w:szCs w:val="16"/>
                <w:lang w:val="en-US"/>
              </w:rPr>
              <w:t>0.3</w:t>
            </w:r>
            <w:r>
              <w:rPr>
                <w:rFonts w:ascii="Arial" w:hAnsi="Arial" w:cs="Arial"/>
                <w:color w:val="000000"/>
                <w:sz w:val="16"/>
                <w:szCs w:val="16"/>
                <w:lang w:val="en-US"/>
              </w:rPr>
              <w:t>6</w:t>
            </w:r>
          </w:p>
        </w:tc>
        <w:tc>
          <w:tcPr>
            <w:tcW w:w="952" w:type="dxa"/>
            <w:tcBorders>
              <w:top w:val="single" w:sz="4" w:space="0" w:color="auto"/>
              <w:left w:val="nil"/>
              <w:bottom w:val="single" w:sz="4" w:space="0" w:color="auto"/>
              <w:right w:val="nil"/>
            </w:tcBorders>
            <w:shd w:val="clear" w:color="auto" w:fill="auto"/>
            <w:noWrap/>
            <w:vAlign w:val="bottom"/>
            <w:hideMark/>
          </w:tcPr>
          <w:p w14:paraId="1FF27EEB" w14:textId="32D48CD2" w:rsidR="00D76689" w:rsidRPr="00B22CED" w:rsidRDefault="00D76689" w:rsidP="00D76689">
            <w:pPr>
              <w:jc w:val="right"/>
              <w:rPr>
                <w:rFonts w:ascii="Arial" w:hAnsi="Arial" w:cs="Arial"/>
                <w:color w:val="000000"/>
                <w:sz w:val="16"/>
                <w:szCs w:val="16"/>
                <w:lang w:val="en-US"/>
              </w:rPr>
            </w:pPr>
            <w:r w:rsidRPr="003F70A1">
              <w:rPr>
                <w:rFonts w:ascii="Arial" w:hAnsi="Arial" w:cs="Arial"/>
                <w:color w:val="000000"/>
                <w:sz w:val="16"/>
                <w:szCs w:val="16"/>
                <w:lang w:val="en-US"/>
              </w:rPr>
              <w:t>0.25</w:t>
            </w:r>
          </w:p>
        </w:tc>
        <w:tc>
          <w:tcPr>
            <w:tcW w:w="993" w:type="dxa"/>
            <w:tcBorders>
              <w:top w:val="single" w:sz="4" w:space="0" w:color="auto"/>
              <w:left w:val="nil"/>
              <w:bottom w:val="single" w:sz="4" w:space="0" w:color="auto"/>
              <w:right w:val="nil"/>
            </w:tcBorders>
            <w:shd w:val="clear" w:color="auto" w:fill="auto"/>
            <w:vAlign w:val="bottom"/>
            <w:hideMark/>
          </w:tcPr>
          <w:p w14:paraId="34FBBCD6" w14:textId="5598850A" w:rsidR="00D76689" w:rsidRPr="00B22CED" w:rsidRDefault="00D76689" w:rsidP="00D76689">
            <w:pPr>
              <w:jc w:val="right"/>
              <w:rPr>
                <w:rFonts w:ascii="Arial" w:hAnsi="Arial" w:cs="Arial"/>
                <w:sz w:val="16"/>
                <w:szCs w:val="16"/>
                <w:lang w:val="en-US"/>
              </w:rPr>
            </w:pPr>
            <w:r w:rsidRPr="003F70A1">
              <w:rPr>
                <w:rFonts w:ascii="Arial" w:hAnsi="Arial" w:cs="Arial"/>
                <w:sz w:val="16"/>
                <w:szCs w:val="16"/>
                <w:lang w:val="en-US"/>
              </w:rPr>
              <w:t>0.14</w:t>
            </w:r>
          </w:p>
        </w:tc>
        <w:tc>
          <w:tcPr>
            <w:tcW w:w="1559" w:type="dxa"/>
            <w:tcBorders>
              <w:top w:val="single" w:sz="4" w:space="0" w:color="auto"/>
              <w:left w:val="nil"/>
              <w:bottom w:val="single" w:sz="4" w:space="0" w:color="auto"/>
              <w:right w:val="nil"/>
            </w:tcBorders>
            <w:shd w:val="clear" w:color="auto" w:fill="auto"/>
            <w:noWrap/>
            <w:vAlign w:val="bottom"/>
            <w:hideMark/>
          </w:tcPr>
          <w:p w14:paraId="388831D0" w14:textId="1D065867" w:rsidR="00D76689" w:rsidRPr="00B22CED" w:rsidRDefault="00D76689" w:rsidP="00D76689">
            <w:pPr>
              <w:ind w:firstLineChars="100" w:firstLine="160"/>
              <w:jc w:val="right"/>
              <w:rPr>
                <w:rFonts w:ascii="Arial" w:hAnsi="Arial" w:cs="Arial"/>
                <w:color w:val="000000"/>
                <w:sz w:val="16"/>
                <w:szCs w:val="16"/>
                <w:lang w:val="en-US"/>
              </w:rPr>
            </w:pPr>
            <w:r w:rsidRPr="003F70A1">
              <w:rPr>
                <w:rFonts w:ascii="Arial" w:hAnsi="Arial" w:cs="Arial"/>
                <w:color w:val="000000"/>
                <w:sz w:val="16"/>
                <w:szCs w:val="16"/>
                <w:lang w:val="en-US"/>
              </w:rPr>
              <w:t>0.67</w:t>
            </w:r>
          </w:p>
        </w:tc>
        <w:tc>
          <w:tcPr>
            <w:tcW w:w="1276" w:type="dxa"/>
            <w:tcBorders>
              <w:top w:val="single" w:sz="4" w:space="0" w:color="auto"/>
              <w:left w:val="nil"/>
              <w:bottom w:val="single" w:sz="4" w:space="0" w:color="auto"/>
              <w:right w:val="nil"/>
            </w:tcBorders>
            <w:shd w:val="clear" w:color="auto" w:fill="auto"/>
            <w:noWrap/>
            <w:vAlign w:val="bottom"/>
            <w:hideMark/>
          </w:tcPr>
          <w:p w14:paraId="5BEBCAC2" w14:textId="467CE5CA" w:rsidR="00D76689" w:rsidRPr="00AB42F3" w:rsidRDefault="00D76689" w:rsidP="00D76689">
            <w:pPr>
              <w:jc w:val="right"/>
              <w:rPr>
                <w:rFonts w:ascii="Arial" w:hAnsi="Arial" w:cs="Arial"/>
                <w:bCs/>
                <w:color w:val="000000"/>
                <w:sz w:val="16"/>
                <w:szCs w:val="16"/>
                <w:lang w:val="en-US"/>
              </w:rPr>
            </w:pPr>
            <w:r w:rsidRPr="00AB42F3">
              <w:rPr>
                <w:rFonts w:ascii="Arial" w:hAnsi="Arial"/>
                <w:bCs/>
                <w:color w:val="000000"/>
                <w:sz w:val="16"/>
                <w:lang w:val="en-US"/>
              </w:rPr>
              <w:t>0.28</w:t>
            </w:r>
          </w:p>
        </w:tc>
      </w:tr>
    </w:tbl>
    <w:p w14:paraId="61E71C35" w14:textId="77777777" w:rsidR="0087052B" w:rsidRDefault="0087052B" w:rsidP="005C0E14">
      <w:pPr>
        <w:pStyle w:val="BodyText"/>
        <w:ind w:left="851" w:right="777"/>
        <w:jc w:val="both"/>
        <w:rPr>
          <w:rFonts w:ascii="Arial" w:eastAsiaTheme="minorHAnsi" w:hAnsi="Arial" w:cs="Arial"/>
        </w:rPr>
      </w:pPr>
    </w:p>
    <w:p w14:paraId="400260F2" w14:textId="60092C57" w:rsidR="00470549" w:rsidRPr="00A10E12" w:rsidRDefault="0087052B" w:rsidP="005C0E14">
      <w:pPr>
        <w:pStyle w:val="BodyText"/>
        <w:ind w:left="851" w:right="777"/>
        <w:jc w:val="both"/>
        <w:rPr>
          <w:rFonts w:ascii="Arial" w:eastAsiaTheme="minorHAnsi" w:hAnsi="Arial" w:cs="Arial"/>
        </w:rPr>
      </w:pPr>
      <w:r w:rsidRPr="00A10E12">
        <w:rPr>
          <w:rFonts w:ascii="Arial" w:eastAsiaTheme="minorHAnsi" w:hAnsi="Arial" w:cs="Arial"/>
        </w:rPr>
        <w:t xml:space="preserve">The Corporation applies the fair value method of accounting for all </w:t>
      </w:r>
      <w:r w:rsidR="00AA20F7" w:rsidRPr="00A10E12">
        <w:rPr>
          <w:rFonts w:ascii="Arial" w:eastAsiaTheme="minorHAnsi" w:hAnsi="Arial" w:cs="Arial"/>
        </w:rPr>
        <w:t>stock-based</w:t>
      </w:r>
      <w:r w:rsidRPr="00A10E12">
        <w:rPr>
          <w:rFonts w:ascii="Arial" w:eastAsiaTheme="minorHAnsi" w:hAnsi="Arial" w:cs="Arial"/>
        </w:rPr>
        <w:t xml:space="preserve"> </w:t>
      </w:r>
      <w:r w:rsidRPr="003C7BA8">
        <w:rPr>
          <w:rFonts w:ascii="Arial" w:eastAsiaTheme="minorHAnsi" w:hAnsi="Arial" w:cs="Arial"/>
        </w:rPr>
        <w:t>compensation awards</w:t>
      </w:r>
      <w:r w:rsidR="009C20AB" w:rsidRPr="003C7BA8">
        <w:rPr>
          <w:rFonts w:ascii="Arial" w:eastAsiaTheme="minorHAnsi" w:hAnsi="Arial" w:cs="Arial"/>
        </w:rPr>
        <w:t xml:space="preserve">. During the year </w:t>
      </w:r>
      <w:r w:rsidR="00CE4B8F" w:rsidRPr="003C7BA8">
        <w:rPr>
          <w:rFonts w:ascii="Arial" w:eastAsiaTheme="minorHAnsi" w:hAnsi="Arial" w:cs="Arial"/>
        </w:rPr>
        <w:t>2,480</w:t>
      </w:r>
      <w:r w:rsidR="009C20AB" w:rsidRPr="003C7BA8">
        <w:rPr>
          <w:rFonts w:ascii="Arial" w:eastAsiaTheme="minorHAnsi" w:hAnsi="Arial" w:cs="Arial"/>
        </w:rPr>
        <w:t xml:space="preserve">,000 stock options were </w:t>
      </w:r>
      <w:r w:rsidR="00BE4868" w:rsidRPr="003C7BA8">
        <w:rPr>
          <w:rFonts w:ascii="Arial" w:eastAsiaTheme="minorHAnsi" w:hAnsi="Arial" w:cs="Arial"/>
        </w:rPr>
        <w:t>granted,</w:t>
      </w:r>
      <w:r w:rsidR="009C20AB" w:rsidRPr="003C7BA8">
        <w:rPr>
          <w:rFonts w:ascii="Arial" w:eastAsiaTheme="minorHAnsi" w:hAnsi="Arial" w:cs="Arial"/>
        </w:rPr>
        <w:t xml:space="preserve"> which vested immediately and related compensation of </w:t>
      </w:r>
      <w:r w:rsidR="00D24C46" w:rsidRPr="003C7BA8">
        <w:rPr>
          <w:rFonts w:ascii="Arial" w:eastAsiaTheme="minorHAnsi" w:hAnsi="Arial" w:cs="Arial"/>
        </w:rPr>
        <w:t xml:space="preserve">$ </w:t>
      </w:r>
      <w:r w:rsidR="00F41EC9" w:rsidRPr="003C7BA8">
        <w:rPr>
          <w:rFonts w:ascii="Arial" w:eastAsiaTheme="minorHAnsi" w:hAnsi="Arial" w:cs="Arial"/>
        </w:rPr>
        <w:t>3</w:t>
      </w:r>
      <w:r w:rsidR="00CE4B8F" w:rsidRPr="003C7BA8">
        <w:rPr>
          <w:rFonts w:ascii="Arial" w:eastAsiaTheme="minorHAnsi" w:hAnsi="Arial" w:cs="Arial"/>
        </w:rPr>
        <w:t>3</w:t>
      </w:r>
      <w:r w:rsidR="006A1266" w:rsidRPr="003C7BA8">
        <w:rPr>
          <w:rFonts w:ascii="Arial" w:eastAsiaTheme="minorHAnsi" w:hAnsi="Arial" w:cs="Arial"/>
        </w:rPr>
        <w:t>8</w:t>
      </w:r>
      <w:r w:rsidR="00CE4B8F" w:rsidRPr="003C7BA8">
        <w:rPr>
          <w:rFonts w:ascii="Arial" w:eastAsiaTheme="minorHAnsi" w:hAnsi="Arial" w:cs="Arial"/>
        </w:rPr>
        <w:t>,</w:t>
      </w:r>
      <w:r w:rsidR="006A1266" w:rsidRPr="003C7BA8">
        <w:rPr>
          <w:rFonts w:ascii="Arial" w:eastAsiaTheme="minorHAnsi" w:hAnsi="Arial" w:cs="Arial"/>
        </w:rPr>
        <w:t>42</w:t>
      </w:r>
      <w:r w:rsidR="00FD6936">
        <w:rPr>
          <w:rFonts w:ascii="Arial" w:eastAsiaTheme="minorHAnsi" w:hAnsi="Arial" w:cs="Arial"/>
        </w:rPr>
        <w:t>8</w:t>
      </w:r>
      <w:r w:rsidR="00D24C46" w:rsidRPr="003C7BA8">
        <w:rPr>
          <w:rFonts w:ascii="Arial" w:eastAsiaTheme="minorHAnsi" w:hAnsi="Arial" w:cs="Arial"/>
        </w:rPr>
        <w:t xml:space="preserve"> </w:t>
      </w:r>
      <w:r w:rsidR="009C20AB" w:rsidRPr="003C7BA8">
        <w:rPr>
          <w:rFonts w:ascii="Arial" w:eastAsiaTheme="minorHAnsi" w:hAnsi="Arial" w:cs="Arial"/>
        </w:rPr>
        <w:t>was recorded</w:t>
      </w:r>
      <w:r w:rsidRPr="003C7BA8">
        <w:rPr>
          <w:rFonts w:ascii="Arial" w:eastAsiaTheme="minorHAnsi" w:hAnsi="Arial" w:cs="Arial"/>
        </w:rPr>
        <w:t xml:space="preserve"> </w:t>
      </w:r>
      <w:r w:rsidR="009C20AB" w:rsidRPr="003C7BA8">
        <w:rPr>
          <w:rFonts w:ascii="Arial" w:eastAsiaTheme="minorHAnsi" w:hAnsi="Arial" w:cs="Arial"/>
        </w:rPr>
        <w:t>(202</w:t>
      </w:r>
      <w:r w:rsidR="006A1266" w:rsidRPr="003C7BA8">
        <w:rPr>
          <w:rFonts w:ascii="Arial" w:eastAsiaTheme="minorHAnsi" w:hAnsi="Arial" w:cs="Arial"/>
        </w:rPr>
        <w:t>2</w:t>
      </w:r>
      <w:r w:rsidR="009C20AB" w:rsidRPr="003C7BA8">
        <w:rPr>
          <w:rFonts w:ascii="Arial" w:eastAsiaTheme="minorHAnsi" w:hAnsi="Arial" w:cs="Arial"/>
        </w:rPr>
        <w:t xml:space="preserve"> -</w:t>
      </w:r>
      <w:r w:rsidR="00D80C75">
        <w:rPr>
          <w:rFonts w:ascii="Arial" w:eastAsiaTheme="minorHAnsi" w:hAnsi="Arial" w:cs="Arial"/>
        </w:rPr>
        <w:t xml:space="preserve"> </w:t>
      </w:r>
      <w:r w:rsidRPr="003C7BA8">
        <w:rPr>
          <w:rFonts w:ascii="Arial" w:eastAsiaTheme="minorHAnsi" w:hAnsi="Arial" w:cs="Arial"/>
        </w:rPr>
        <w:t>$</w:t>
      </w:r>
      <w:r w:rsidR="006A1266" w:rsidRPr="003C7BA8">
        <w:rPr>
          <w:rFonts w:ascii="Arial" w:eastAsiaTheme="minorHAnsi" w:hAnsi="Arial" w:cs="Arial"/>
        </w:rPr>
        <w:t>393,813</w:t>
      </w:r>
      <w:r w:rsidRPr="003C7BA8">
        <w:rPr>
          <w:rFonts w:ascii="Arial" w:eastAsiaTheme="minorHAnsi" w:hAnsi="Arial" w:cs="Arial"/>
        </w:rPr>
        <w:t xml:space="preserve"> was recorded as compensation for the </w:t>
      </w:r>
      <w:r w:rsidR="006A1266" w:rsidRPr="003C7BA8">
        <w:rPr>
          <w:rFonts w:ascii="Arial" w:eastAsiaTheme="minorHAnsi" w:hAnsi="Arial" w:cs="Arial"/>
        </w:rPr>
        <w:t>September 01</w:t>
      </w:r>
      <w:r w:rsidRPr="003C7BA8">
        <w:rPr>
          <w:rFonts w:ascii="Arial" w:eastAsiaTheme="minorHAnsi" w:hAnsi="Arial" w:cs="Arial"/>
        </w:rPr>
        <w:t xml:space="preserve">, </w:t>
      </w:r>
      <w:proofErr w:type="gramStart"/>
      <w:r w:rsidR="006A1266" w:rsidRPr="003C7BA8">
        <w:rPr>
          <w:rFonts w:ascii="Arial" w:eastAsiaTheme="minorHAnsi" w:hAnsi="Arial" w:cs="Arial"/>
        </w:rPr>
        <w:t>2027</w:t>
      </w:r>
      <w:proofErr w:type="gramEnd"/>
      <w:r w:rsidRPr="003C7BA8">
        <w:rPr>
          <w:rFonts w:ascii="Arial" w:eastAsiaTheme="minorHAnsi" w:hAnsi="Arial" w:cs="Arial"/>
        </w:rPr>
        <w:t xml:space="preserve"> options that vested during the period</w:t>
      </w:r>
      <w:r w:rsidR="009C20AB" w:rsidRPr="003C7BA8">
        <w:rPr>
          <w:rFonts w:ascii="Arial" w:eastAsiaTheme="minorHAnsi" w:hAnsi="Arial" w:cs="Arial"/>
        </w:rPr>
        <w:t>)</w:t>
      </w:r>
      <w:r w:rsidR="0019219A" w:rsidRPr="003C7BA8">
        <w:rPr>
          <w:rFonts w:ascii="Arial" w:eastAsiaTheme="minorHAnsi" w:hAnsi="Arial" w:cs="Arial"/>
        </w:rPr>
        <w:t xml:space="preserve">. </w:t>
      </w:r>
      <w:r w:rsidR="000F5BE1" w:rsidRPr="003C7BA8">
        <w:rPr>
          <w:rFonts w:ascii="Arial" w:eastAsiaTheme="minorHAnsi" w:hAnsi="Arial" w:cs="Arial"/>
        </w:rPr>
        <w:t xml:space="preserve">As of </w:t>
      </w:r>
      <w:r w:rsidR="004C6426" w:rsidRPr="003C7BA8">
        <w:rPr>
          <w:rFonts w:ascii="Arial" w:eastAsiaTheme="minorHAnsi" w:hAnsi="Arial" w:cs="Arial"/>
        </w:rPr>
        <w:t>December</w:t>
      </w:r>
      <w:r w:rsidR="004C6426" w:rsidRPr="00A10E12">
        <w:rPr>
          <w:rFonts w:ascii="Arial" w:eastAsiaTheme="minorHAnsi" w:hAnsi="Arial" w:cs="Arial"/>
        </w:rPr>
        <w:t xml:space="preserve"> 31</w:t>
      </w:r>
      <w:r w:rsidR="000F5BE1" w:rsidRPr="00A10E12">
        <w:rPr>
          <w:rFonts w:ascii="Arial" w:eastAsiaTheme="minorHAnsi" w:hAnsi="Arial" w:cs="Arial"/>
        </w:rPr>
        <w:t>, 202</w:t>
      </w:r>
      <w:r w:rsidR="00CE4B8F" w:rsidRPr="00A10E12">
        <w:rPr>
          <w:rFonts w:ascii="Arial" w:eastAsiaTheme="minorHAnsi" w:hAnsi="Arial" w:cs="Arial"/>
        </w:rPr>
        <w:t>3</w:t>
      </w:r>
      <w:r w:rsidR="000F5BE1" w:rsidRPr="00A10E12">
        <w:rPr>
          <w:rFonts w:ascii="Arial" w:eastAsiaTheme="minorHAnsi" w:hAnsi="Arial" w:cs="Arial"/>
        </w:rPr>
        <w:t xml:space="preserve">, there were </w:t>
      </w:r>
      <w:r w:rsidR="00CE4B8F" w:rsidRPr="00A10E12">
        <w:rPr>
          <w:rFonts w:ascii="Arial" w:eastAsiaTheme="minorHAnsi" w:hAnsi="Arial" w:cs="Arial"/>
        </w:rPr>
        <w:t>no</w:t>
      </w:r>
      <w:r w:rsidR="000F5BE1" w:rsidRPr="00A10E12">
        <w:rPr>
          <w:rFonts w:ascii="Arial" w:eastAsiaTheme="minorHAnsi" w:hAnsi="Arial" w:cs="Arial"/>
        </w:rPr>
        <w:t xml:space="preserve"> unvested stock options (December 31, </w:t>
      </w:r>
      <w:r w:rsidR="006A1266" w:rsidRPr="00A10E12">
        <w:rPr>
          <w:rFonts w:ascii="Arial" w:eastAsiaTheme="minorHAnsi" w:hAnsi="Arial" w:cs="Arial"/>
        </w:rPr>
        <w:t>2022,</w:t>
      </w:r>
      <w:r w:rsidR="000F5BE1" w:rsidRPr="00A10E12">
        <w:rPr>
          <w:rFonts w:ascii="Arial" w:eastAsiaTheme="minorHAnsi" w:hAnsi="Arial" w:cs="Arial"/>
        </w:rPr>
        <w:t xml:space="preserve"> -</w:t>
      </w:r>
      <w:r w:rsidR="00CE4B8F" w:rsidRPr="00A10E12">
        <w:rPr>
          <w:rFonts w:ascii="Arial" w:eastAsiaTheme="minorHAnsi" w:hAnsi="Arial" w:cs="Arial"/>
        </w:rPr>
        <w:t>100,00</w:t>
      </w:r>
      <w:r w:rsidR="009C20AB" w:rsidRPr="00A10E12">
        <w:rPr>
          <w:rFonts w:ascii="Arial" w:eastAsiaTheme="minorHAnsi" w:hAnsi="Arial" w:cs="Arial"/>
        </w:rPr>
        <w:t>0</w:t>
      </w:r>
      <w:r w:rsidR="000F5BE1" w:rsidRPr="00A10E12">
        <w:rPr>
          <w:rFonts w:ascii="Arial" w:eastAsiaTheme="minorHAnsi" w:hAnsi="Arial" w:cs="Arial"/>
        </w:rPr>
        <w:t xml:space="preserve"> unvested stock options</w:t>
      </w:r>
      <w:r w:rsidR="00C16600" w:rsidRPr="00A10E12">
        <w:rPr>
          <w:rFonts w:ascii="Arial" w:eastAsiaTheme="minorHAnsi" w:hAnsi="Arial" w:cs="Arial"/>
        </w:rPr>
        <w:t>)</w:t>
      </w:r>
      <w:r w:rsidR="000F5BE1" w:rsidRPr="00A10E12">
        <w:rPr>
          <w:rFonts w:ascii="Arial" w:eastAsiaTheme="minorHAnsi" w:hAnsi="Arial" w:cs="Arial"/>
        </w:rPr>
        <w:t>.</w:t>
      </w:r>
    </w:p>
    <w:p w14:paraId="67ED33B7" w14:textId="77777777" w:rsidR="00470549" w:rsidRPr="00A10E12" w:rsidRDefault="00470549" w:rsidP="005C0E14">
      <w:pPr>
        <w:pStyle w:val="BodyText"/>
        <w:ind w:left="851" w:right="777"/>
        <w:jc w:val="both"/>
        <w:rPr>
          <w:rFonts w:ascii="Arial" w:eastAsiaTheme="minorHAnsi" w:hAnsi="Arial" w:cs="Arial"/>
        </w:rPr>
      </w:pPr>
    </w:p>
    <w:p w14:paraId="0DE92A6E" w14:textId="364DF643" w:rsidR="000F5BE1" w:rsidRPr="00A10E12" w:rsidRDefault="0019219A" w:rsidP="005C0E14">
      <w:pPr>
        <w:pStyle w:val="BodyText"/>
        <w:ind w:left="851" w:right="777"/>
        <w:jc w:val="both"/>
        <w:rPr>
          <w:rFonts w:ascii="Arial" w:eastAsiaTheme="minorHAnsi" w:hAnsi="Arial" w:cs="Arial"/>
        </w:rPr>
      </w:pPr>
      <w:r w:rsidRPr="00A10E12">
        <w:rPr>
          <w:rFonts w:ascii="Arial" w:eastAsiaTheme="minorHAnsi" w:hAnsi="Arial" w:cs="Arial"/>
        </w:rPr>
        <w:t xml:space="preserve">* </w:t>
      </w:r>
      <w:r w:rsidR="00CE4B8F" w:rsidRPr="00A10E12">
        <w:rPr>
          <w:rFonts w:ascii="Arial" w:eastAsiaTheme="minorHAnsi" w:hAnsi="Arial" w:cs="Arial"/>
        </w:rPr>
        <w:t>No</w:t>
      </w:r>
      <w:r w:rsidR="007D08C4" w:rsidRPr="00A10E12">
        <w:rPr>
          <w:rFonts w:ascii="Arial" w:eastAsiaTheme="minorHAnsi" w:hAnsi="Arial" w:cs="Arial"/>
        </w:rPr>
        <w:t xml:space="preserve"> options were exercised during the </w:t>
      </w:r>
      <w:r w:rsidR="009F2B9B" w:rsidRPr="00A10E12">
        <w:rPr>
          <w:rFonts w:ascii="Arial" w:eastAsiaTheme="minorHAnsi" w:hAnsi="Arial" w:cs="Arial"/>
        </w:rPr>
        <w:t>year</w:t>
      </w:r>
      <w:r w:rsidR="0084557F" w:rsidRPr="00A10E12">
        <w:rPr>
          <w:rFonts w:ascii="Arial" w:eastAsiaTheme="minorHAnsi" w:hAnsi="Arial" w:cs="Arial"/>
        </w:rPr>
        <w:t xml:space="preserve"> </w:t>
      </w:r>
      <w:r w:rsidR="007D08C4" w:rsidRPr="00A10E12">
        <w:rPr>
          <w:rFonts w:ascii="Arial" w:eastAsiaTheme="minorHAnsi" w:hAnsi="Arial" w:cs="Arial"/>
        </w:rPr>
        <w:t>(</w:t>
      </w:r>
      <w:r w:rsidR="009A1219" w:rsidRPr="00A10E12">
        <w:rPr>
          <w:rFonts w:ascii="Arial" w:eastAsiaTheme="minorHAnsi" w:hAnsi="Arial" w:cs="Arial"/>
        </w:rPr>
        <w:t>December 31, 202</w:t>
      </w:r>
      <w:r w:rsidR="00CE4B8F" w:rsidRPr="00A10E12">
        <w:rPr>
          <w:rFonts w:ascii="Arial" w:eastAsiaTheme="minorHAnsi" w:hAnsi="Arial" w:cs="Arial"/>
        </w:rPr>
        <w:t>2</w:t>
      </w:r>
      <w:r w:rsidR="00846580" w:rsidRPr="00A10E12">
        <w:rPr>
          <w:rFonts w:ascii="Arial" w:eastAsiaTheme="minorHAnsi" w:hAnsi="Arial" w:cs="Arial"/>
        </w:rPr>
        <w:t xml:space="preserve"> </w:t>
      </w:r>
      <w:r w:rsidR="009A1219" w:rsidRPr="00A10E12">
        <w:rPr>
          <w:rFonts w:ascii="Arial" w:eastAsiaTheme="minorHAnsi" w:hAnsi="Arial" w:cs="Arial"/>
        </w:rPr>
        <w:t xml:space="preserve">- </w:t>
      </w:r>
      <w:r w:rsidR="003345DD" w:rsidRPr="00A10E12">
        <w:rPr>
          <w:rFonts w:ascii="Arial" w:eastAsiaTheme="minorHAnsi" w:hAnsi="Arial" w:cs="Arial"/>
        </w:rPr>
        <w:t>69</w:t>
      </w:r>
      <w:r w:rsidR="009F2B9B" w:rsidRPr="00A10E12">
        <w:rPr>
          <w:rFonts w:ascii="Arial" w:eastAsiaTheme="minorHAnsi" w:hAnsi="Arial" w:cs="Arial"/>
        </w:rPr>
        <w:t>0,000 options were exercised during the year</w:t>
      </w:r>
      <w:r w:rsidR="002E304E" w:rsidRPr="00A10E12">
        <w:rPr>
          <w:rFonts w:ascii="Arial" w:eastAsiaTheme="minorHAnsi" w:hAnsi="Arial" w:cs="Arial"/>
        </w:rPr>
        <w:t xml:space="preserve"> with a </w:t>
      </w:r>
      <w:r w:rsidR="009F2B9B" w:rsidRPr="00A10E12">
        <w:rPr>
          <w:rFonts w:ascii="Arial" w:eastAsiaTheme="minorHAnsi" w:hAnsi="Arial" w:cs="Arial"/>
        </w:rPr>
        <w:t xml:space="preserve">weighted average share </w:t>
      </w:r>
      <w:r w:rsidR="0084557F" w:rsidRPr="00A10E12">
        <w:rPr>
          <w:rFonts w:ascii="Arial" w:eastAsiaTheme="minorHAnsi" w:hAnsi="Arial" w:cs="Arial"/>
        </w:rPr>
        <w:t xml:space="preserve">price </w:t>
      </w:r>
      <w:r w:rsidR="002E304E" w:rsidRPr="00A10E12">
        <w:rPr>
          <w:rFonts w:ascii="Arial" w:eastAsiaTheme="minorHAnsi" w:hAnsi="Arial" w:cs="Arial"/>
        </w:rPr>
        <w:t>of</w:t>
      </w:r>
      <w:r w:rsidR="009F2B9B" w:rsidRPr="00A10E12">
        <w:rPr>
          <w:rFonts w:ascii="Arial" w:eastAsiaTheme="minorHAnsi" w:hAnsi="Arial" w:cs="Arial"/>
        </w:rPr>
        <w:t xml:space="preserve"> $0.1</w:t>
      </w:r>
      <w:r w:rsidR="00CE4B8F" w:rsidRPr="00A10E12">
        <w:rPr>
          <w:rFonts w:ascii="Arial" w:eastAsiaTheme="minorHAnsi" w:hAnsi="Arial" w:cs="Arial"/>
        </w:rPr>
        <w:t>4 and $155,625 was credited to the share capital in respect of these issued</w:t>
      </w:r>
      <w:r w:rsidR="00257B08" w:rsidRPr="00A10E12">
        <w:rPr>
          <w:rFonts w:ascii="Arial" w:eastAsiaTheme="minorHAnsi" w:hAnsi="Arial" w:cs="Arial"/>
        </w:rPr>
        <w:t xml:space="preserve"> shares</w:t>
      </w:r>
      <w:r w:rsidR="007D08C4" w:rsidRPr="00A10E12">
        <w:rPr>
          <w:rFonts w:ascii="Arial" w:eastAsiaTheme="minorHAnsi" w:hAnsi="Arial" w:cs="Arial"/>
        </w:rPr>
        <w:t>)</w:t>
      </w:r>
      <w:r w:rsidR="00CD5274" w:rsidRPr="00A10E12">
        <w:rPr>
          <w:rFonts w:ascii="Arial" w:eastAsiaTheme="minorHAnsi" w:hAnsi="Arial" w:cs="Arial"/>
        </w:rPr>
        <w:t>.</w:t>
      </w:r>
      <w:r w:rsidR="007D08C4" w:rsidRPr="00A10E12">
        <w:rPr>
          <w:rFonts w:ascii="Arial" w:eastAsiaTheme="minorHAnsi" w:hAnsi="Arial" w:cs="Arial"/>
        </w:rPr>
        <w:t xml:space="preserve"> </w:t>
      </w:r>
    </w:p>
    <w:p w14:paraId="75884A15" w14:textId="77777777" w:rsidR="00575AB4" w:rsidRPr="00A10E12" w:rsidRDefault="00575AB4" w:rsidP="005C0E14">
      <w:pPr>
        <w:pStyle w:val="BodyText"/>
        <w:ind w:left="851" w:right="777"/>
        <w:jc w:val="both"/>
        <w:rPr>
          <w:rFonts w:ascii="Arial" w:eastAsiaTheme="minorHAnsi" w:hAnsi="Arial" w:cs="Arial"/>
        </w:rPr>
      </w:pPr>
    </w:p>
    <w:p w14:paraId="2A8F749E" w14:textId="557701AF" w:rsidR="00A5315A" w:rsidRPr="00A10E12" w:rsidRDefault="00A5315A" w:rsidP="005C0E14">
      <w:pPr>
        <w:pStyle w:val="BodyText"/>
        <w:ind w:left="851" w:right="777"/>
        <w:jc w:val="both"/>
        <w:rPr>
          <w:rFonts w:ascii="Arial" w:hAnsi="Arial" w:cs="Arial"/>
        </w:rPr>
      </w:pPr>
      <w:r w:rsidRPr="00A10E12">
        <w:rPr>
          <w:rFonts w:ascii="Arial" w:eastAsiaTheme="minorHAnsi" w:hAnsi="Arial" w:cs="Arial"/>
        </w:rPr>
        <w:t xml:space="preserve">** The weighted average remaining life of the outstanding stock options is </w:t>
      </w:r>
      <w:r w:rsidR="00CE4B8F" w:rsidRPr="00A10E12">
        <w:rPr>
          <w:rFonts w:ascii="Arial" w:eastAsiaTheme="minorHAnsi" w:hAnsi="Arial" w:cs="Arial"/>
        </w:rPr>
        <w:t>1.9</w:t>
      </w:r>
      <w:r w:rsidR="00242904" w:rsidRPr="00A10E12">
        <w:rPr>
          <w:rFonts w:ascii="Arial" w:eastAsiaTheme="minorHAnsi" w:hAnsi="Arial" w:cs="Arial"/>
        </w:rPr>
        <w:t>3</w:t>
      </w:r>
      <w:r w:rsidRPr="00A10E12">
        <w:rPr>
          <w:rFonts w:ascii="Arial" w:eastAsiaTheme="minorHAnsi" w:hAnsi="Arial" w:cs="Arial"/>
        </w:rPr>
        <w:t xml:space="preserve"> year</w:t>
      </w:r>
      <w:r w:rsidR="00CE4B8F" w:rsidRPr="00A10E12">
        <w:rPr>
          <w:rFonts w:ascii="Arial" w:eastAsiaTheme="minorHAnsi" w:hAnsi="Arial" w:cs="Arial"/>
        </w:rPr>
        <w:t>s</w:t>
      </w:r>
      <w:r w:rsidRPr="00A10E12">
        <w:rPr>
          <w:rFonts w:ascii="Arial" w:eastAsiaTheme="minorHAnsi" w:hAnsi="Arial" w:cs="Arial"/>
        </w:rPr>
        <w:t xml:space="preserve"> (December 31, 20</w:t>
      </w:r>
      <w:r w:rsidR="007D08C4" w:rsidRPr="00A10E12">
        <w:rPr>
          <w:rFonts w:ascii="Arial" w:eastAsiaTheme="minorHAnsi" w:hAnsi="Arial" w:cs="Arial"/>
        </w:rPr>
        <w:t>2</w:t>
      </w:r>
      <w:r w:rsidR="00CE4B8F" w:rsidRPr="00A10E12">
        <w:rPr>
          <w:rFonts w:ascii="Arial" w:eastAsiaTheme="minorHAnsi" w:hAnsi="Arial" w:cs="Arial"/>
        </w:rPr>
        <w:t>2</w:t>
      </w:r>
      <w:r w:rsidRPr="00A10E12">
        <w:rPr>
          <w:rFonts w:ascii="Arial" w:eastAsiaTheme="minorHAnsi" w:hAnsi="Arial" w:cs="Arial"/>
        </w:rPr>
        <w:t xml:space="preserve"> – </w:t>
      </w:r>
      <w:r w:rsidR="007D08C4" w:rsidRPr="00A10E12">
        <w:rPr>
          <w:rFonts w:ascii="Arial" w:eastAsiaTheme="minorHAnsi" w:hAnsi="Arial" w:cs="Arial"/>
        </w:rPr>
        <w:t>2</w:t>
      </w:r>
      <w:r w:rsidRPr="00A10E12">
        <w:rPr>
          <w:rFonts w:ascii="Arial" w:eastAsiaTheme="minorHAnsi" w:hAnsi="Arial" w:cs="Arial"/>
        </w:rPr>
        <w:t>.</w:t>
      </w:r>
      <w:r w:rsidR="00CE4B8F" w:rsidRPr="00A10E12">
        <w:rPr>
          <w:rFonts w:ascii="Arial" w:eastAsiaTheme="minorHAnsi" w:hAnsi="Arial" w:cs="Arial"/>
        </w:rPr>
        <w:t>3</w:t>
      </w:r>
      <w:r w:rsidR="007D08C4" w:rsidRPr="00A10E12">
        <w:rPr>
          <w:rFonts w:ascii="Arial" w:eastAsiaTheme="minorHAnsi" w:hAnsi="Arial" w:cs="Arial"/>
        </w:rPr>
        <w:t>3</w:t>
      </w:r>
      <w:r w:rsidRPr="00A10E12">
        <w:rPr>
          <w:rFonts w:ascii="Arial" w:eastAsiaTheme="minorHAnsi" w:hAnsi="Arial" w:cs="Arial"/>
        </w:rPr>
        <w:t xml:space="preserve"> years)</w:t>
      </w:r>
      <w:r w:rsidRPr="00A10E12">
        <w:rPr>
          <w:rFonts w:ascii="Arial" w:hAnsi="Arial" w:cs="Arial"/>
        </w:rPr>
        <w:t>.</w:t>
      </w:r>
    </w:p>
    <w:p w14:paraId="5A3B37F2" w14:textId="77777777" w:rsidR="0018650B" w:rsidRDefault="0018650B" w:rsidP="005C0E14">
      <w:pPr>
        <w:pStyle w:val="BodyText"/>
        <w:ind w:left="851" w:right="777"/>
        <w:jc w:val="both"/>
        <w:rPr>
          <w:rFonts w:ascii="Arial" w:hAnsi="Arial" w:cs="Arial"/>
        </w:rPr>
      </w:pPr>
    </w:p>
    <w:p w14:paraId="16F634BB" w14:textId="6555ED88" w:rsidR="00DF5145" w:rsidRDefault="00DF5145">
      <w:pPr>
        <w:widowControl w:val="0"/>
        <w:autoSpaceDE w:val="0"/>
        <w:autoSpaceDN w:val="0"/>
        <w:rPr>
          <w:rFonts w:ascii="Arial" w:hAnsi="Arial" w:cs="Arial"/>
          <w:sz w:val="16"/>
          <w:szCs w:val="16"/>
        </w:rPr>
      </w:pPr>
      <w:r>
        <w:rPr>
          <w:rFonts w:ascii="Arial" w:hAnsi="Arial" w:cs="Arial"/>
        </w:rPr>
        <w:br w:type="page"/>
      </w:r>
    </w:p>
    <w:p w14:paraId="2C866F25" w14:textId="77777777" w:rsidR="009873AD" w:rsidRDefault="009873AD" w:rsidP="005C0E14">
      <w:pPr>
        <w:pStyle w:val="BodyText"/>
        <w:ind w:left="851" w:right="777"/>
        <w:jc w:val="both"/>
        <w:rPr>
          <w:rFonts w:ascii="Arial" w:hAnsi="Arial" w:cs="Arial"/>
        </w:rPr>
      </w:pPr>
    </w:p>
    <w:p w14:paraId="323EB417" w14:textId="77777777" w:rsidR="00DF5145" w:rsidRDefault="00DF5145" w:rsidP="005C0E14">
      <w:pPr>
        <w:pStyle w:val="BodyText"/>
        <w:ind w:left="851" w:right="777"/>
        <w:jc w:val="both"/>
        <w:rPr>
          <w:rFonts w:ascii="Arial" w:hAnsi="Arial" w:cs="Arial"/>
        </w:rPr>
      </w:pPr>
    </w:p>
    <w:p w14:paraId="22F70745" w14:textId="74630CFD" w:rsidR="001D3311" w:rsidRPr="00CE4B8F" w:rsidRDefault="001D3311" w:rsidP="005C0E14">
      <w:pPr>
        <w:pStyle w:val="BodyText"/>
        <w:ind w:left="851" w:right="777"/>
        <w:jc w:val="both"/>
        <w:rPr>
          <w:rFonts w:ascii="Arial" w:hAnsi="Arial" w:cs="Arial"/>
        </w:rPr>
      </w:pPr>
      <w:r w:rsidRPr="00CE4B8F">
        <w:rPr>
          <w:rFonts w:ascii="Arial" w:hAnsi="Arial" w:cs="Arial"/>
        </w:rPr>
        <w:t>For purposes of the options granted, the fair value of each option was estimated on the date of grant using the   Black-Scholes option pricing model, with the following assumptions:</w:t>
      </w:r>
    </w:p>
    <w:p w14:paraId="179BAC24" w14:textId="58909C98" w:rsidR="001D3311" w:rsidRPr="00CE4B8F" w:rsidRDefault="001D3311" w:rsidP="005C0E14">
      <w:pPr>
        <w:pStyle w:val="BodyText"/>
        <w:ind w:left="851" w:right="777"/>
        <w:jc w:val="both"/>
        <w:rPr>
          <w:rFonts w:ascii="Arial" w:hAnsi="Arial" w:cs="Arial"/>
        </w:rPr>
      </w:pPr>
    </w:p>
    <w:tbl>
      <w:tblPr>
        <w:tblW w:w="8132" w:type="dxa"/>
        <w:tblInd w:w="799" w:type="dxa"/>
        <w:tblLook w:val="04A0" w:firstRow="1" w:lastRow="0" w:firstColumn="1" w:lastColumn="0" w:noHBand="0" w:noVBand="1"/>
      </w:tblPr>
      <w:tblGrid>
        <w:gridCol w:w="4446"/>
        <w:gridCol w:w="1843"/>
        <w:gridCol w:w="1843"/>
      </w:tblGrid>
      <w:tr w:rsidR="002629E5" w:rsidRPr="00C9364B" w14:paraId="040D418F" w14:textId="77777777" w:rsidTr="005C0E14">
        <w:trPr>
          <w:trHeight w:val="236"/>
        </w:trPr>
        <w:tc>
          <w:tcPr>
            <w:tcW w:w="4446" w:type="dxa"/>
            <w:tcBorders>
              <w:top w:val="nil"/>
              <w:left w:val="nil"/>
              <w:right w:val="nil"/>
            </w:tcBorders>
            <w:shd w:val="clear" w:color="auto" w:fill="auto"/>
            <w:vAlign w:val="center"/>
          </w:tcPr>
          <w:p w14:paraId="58FF3FE3" w14:textId="77777777" w:rsidR="002629E5" w:rsidRPr="00C9364B" w:rsidRDefault="002629E5" w:rsidP="001404EC">
            <w:pPr>
              <w:rPr>
                <w:rFonts w:ascii="Arial" w:hAnsi="Arial" w:cs="Arial"/>
                <w:sz w:val="16"/>
                <w:szCs w:val="16"/>
                <w:highlight w:val="yellow"/>
                <w:u w:val="single"/>
              </w:rPr>
            </w:pPr>
          </w:p>
        </w:tc>
        <w:tc>
          <w:tcPr>
            <w:tcW w:w="1843" w:type="dxa"/>
            <w:tcBorders>
              <w:top w:val="nil"/>
              <w:left w:val="nil"/>
              <w:right w:val="nil"/>
            </w:tcBorders>
            <w:shd w:val="clear" w:color="auto" w:fill="auto"/>
            <w:noWrap/>
            <w:vAlign w:val="center"/>
          </w:tcPr>
          <w:p w14:paraId="694368F7" w14:textId="77777777" w:rsidR="002629E5" w:rsidRDefault="002629E5" w:rsidP="001404EC">
            <w:pPr>
              <w:jc w:val="right"/>
              <w:rPr>
                <w:rFonts w:ascii="Arial" w:hAnsi="Arial" w:cs="Arial"/>
                <w:b/>
                <w:bCs/>
                <w:color w:val="000000"/>
                <w:sz w:val="16"/>
                <w:szCs w:val="16"/>
                <w:lang w:eastAsia="en-CA"/>
              </w:rPr>
            </w:pPr>
            <w:r w:rsidRPr="00CE4B8F">
              <w:rPr>
                <w:rFonts w:ascii="Arial" w:hAnsi="Arial" w:cs="Arial"/>
                <w:b/>
                <w:bCs/>
                <w:color w:val="000000"/>
                <w:sz w:val="16"/>
                <w:szCs w:val="16"/>
                <w:lang w:eastAsia="en-CA"/>
              </w:rPr>
              <w:t>202</w:t>
            </w:r>
            <w:r w:rsidR="00CE4B8F" w:rsidRPr="00CE4B8F">
              <w:rPr>
                <w:rFonts w:ascii="Arial" w:hAnsi="Arial" w:cs="Arial"/>
                <w:b/>
                <w:bCs/>
                <w:color w:val="000000"/>
                <w:sz w:val="16"/>
                <w:szCs w:val="16"/>
                <w:lang w:eastAsia="en-CA"/>
              </w:rPr>
              <w:t>3</w:t>
            </w:r>
          </w:p>
          <w:p w14:paraId="5342C101" w14:textId="7BD73275" w:rsidR="00AB42F3" w:rsidRPr="00CE4B8F" w:rsidRDefault="00AB42F3" w:rsidP="001404EC">
            <w:pPr>
              <w:jc w:val="right"/>
              <w:rPr>
                <w:rFonts w:ascii="Arial" w:hAnsi="Arial" w:cs="Arial"/>
                <w:b/>
                <w:bCs/>
                <w:color w:val="000000"/>
                <w:sz w:val="16"/>
                <w:szCs w:val="16"/>
                <w:lang w:eastAsia="en-CA"/>
              </w:rPr>
            </w:pPr>
          </w:p>
        </w:tc>
        <w:tc>
          <w:tcPr>
            <w:tcW w:w="1843" w:type="dxa"/>
            <w:tcBorders>
              <w:top w:val="nil"/>
              <w:left w:val="nil"/>
              <w:right w:val="nil"/>
            </w:tcBorders>
            <w:shd w:val="clear" w:color="auto" w:fill="auto"/>
            <w:noWrap/>
            <w:vAlign w:val="center"/>
          </w:tcPr>
          <w:p w14:paraId="47749815" w14:textId="77777777" w:rsidR="002629E5" w:rsidRDefault="002629E5" w:rsidP="001404EC">
            <w:pPr>
              <w:jc w:val="right"/>
              <w:rPr>
                <w:rFonts w:ascii="Arial" w:hAnsi="Arial" w:cs="Arial"/>
                <w:color w:val="000000"/>
                <w:sz w:val="16"/>
                <w:szCs w:val="16"/>
                <w:lang w:eastAsia="en-CA"/>
              </w:rPr>
            </w:pPr>
            <w:r w:rsidRPr="00CE4B8F">
              <w:rPr>
                <w:rFonts w:ascii="Arial" w:hAnsi="Arial" w:cs="Arial"/>
                <w:color w:val="000000"/>
                <w:sz w:val="16"/>
                <w:szCs w:val="16"/>
                <w:lang w:eastAsia="en-CA"/>
              </w:rPr>
              <w:t>202</w:t>
            </w:r>
            <w:r w:rsidR="00CE4B8F" w:rsidRPr="00CE4B8F">
              <w:rPr>
                <w:rFonts w:ascii="Arial" w:hAnsi="Arial" w:cs="Arial"/>
                <w:color w:val="000000"/>
                <w:sz w:val="16"/>
                <w:szCs w:val="16"/>
                <w:lang w:eastAsia="en-CA"/>
              </w:rPr>
              <w:t>2</w:t>
            </w:r>
          </w:p>
          <w:p w14:paraId="42F31F86" w14:textId="68DF2999" w:rsidR="00AB42F3" w:rsidRPr="00CE4B8F" w:rsidRDefault="00AB42F3" w:rsidP="001404EC">
            <w:pPr>
              <w:jc w:val="right"/>
              <w:rPr>
                <w:rFonts w:ascii="Arial" w:hAnsi="Arial" w:cs="Arial"/>
                <w:color w:val="000000"/>
                <w:sz w:val="16"/>
                <w:szCs w:val="16"/>
                <w:lang w:eastAsia="en-CA"/>
              </w:rPr>
            </w:pPr>
          </w:p>
        </w:tc>
      </w:tr>
      <w:tr w:rsidR="00D532D4" w:rsidRPr="00C9364B" w14:paraId="6B902C8B" w14:textId="77777777" w:rsidTr="005C0E14">
        <w:trPr>
          <w:trHeight w:val="236"/>
        </w:trPr>
        <w:tc>
          <w:tcPr>
            <w:tcW w:w="4446" w:type="dxa"/>
            <w:tcBorders>
              <w:top w:val="nil"/>
              <w:left w:val="nil"/>
              <w:right w:val="nil"/>
            </w:tcBorders>
            <w:shd w:val="clear" w:color="auto" w:fill="auto"/>
            <w:vAlign w:val="center"/>
            <w:hideMark/>
          </w:tcPr>
          <w:p w14:paraId="51B874DC" w14:textId="64E5F78A" w:rsidR="002629E5" w:rsidRPr="00CE4B8F" w:rsidRDefault="002629E5" w:rsidP="001404EC">
            <w:pPr>
              <w:rPr>
                <w:rFonts w:ascii="Arial" w:hAnsi="Arial" w:cs="Arial"/>
                <w:sz w:val="16"/>
                <w:szCs w:val="16"/>
                <w:lang w:eastAsia="en-CA"/>
              </w:rPr>
            </w:pPr>
            <w:r w:rsidRPr="00CE4B8F">
              <w:rPr>
                <w:rFonts w:ascii="Arial" w:hAnsi="Arial"/>
                <w:sz w:val="16"/>
              </w:rPr>
              <w:t>Risk-free interest rate</w:t>
            </w:r>
          </w:p>
        </w:tc>
        <w:tc>
          <w:tcPr>
            <w:tcW w:w="1843" w:type="dxa"/>
            <w:tcBorders>
              <w:top w:val="nil"/>
              <w:left w:val="nil"/>
              <w:right w:val="nil"/>
            </w:tcBorders>
            <w:shd w:val="clear" w:color="auto" w:fill="auto"/>
            <w:noWrap/>
            <w:vAlign w:val="center"/>
            <w:hideMark/>
          </w:tcPr>
          <w:p w14:paraId="2C680499" w14:textId="4FBE6023" w:rsidR="002629E5" w:rsidRPr="00CE4B8F" w:rsidRDefault="002629E5" w:rsidP="001404EC">
            <w:pPr>
              <w:jc w:val="right"/>
              <w:rPr>
                <w:rFonts w:ascii="Arial" w:hAnsi="Arial" w:cs="Arial"/>
                <w:b/>
                <w:bCs/>
                <w:color w:val="000000"/>
                <w:sz w:val="16"/>
                <w:szCs w:val="16"/>
                <w:lang w:eastAsia="en-CA"/>
              </w:rPr>
            </w:pPr>
            <w:r w:rsidRPr="00CE4B8F">
              <w:rPr>
                <w:rFonts w:ascii="Arial" w:hAnsi="Arial" w:cs="Arial"/>
                <w:b/>
                <w:bCs/>
                <w:color w:val="000000"/>
                <w:sz w:val="16"/>
                <w:szCs w:val="16"/>
                <w:lang w:eastAsia="en-CA"/>
              </w:rPr>
              <w:t xml:space="preserve"> </w:t>
            </w:r>
            <w:r w:rsidR="00CE4B8F" w:rsidRPr="00CE4B8F">
              <w:rPr>
                <w:rFonts w:ascii="Arial" w:hAnsi="Arial" w:cs="Arial"/>
                <w:b/>
                <w:bCs/>
                <w:color w:val="000000"/>
                <w:sz w:val="16"/>
                <w:szCs w:val="16"/>
                <w:lang w:eastAsia="en-CA"/>
              </w:rPr>
              <w:t>2.77</w:t>
            </w:r>
            <w:r w:rsidR="00023869" w:rsidRPr="00CE4B8F">
              <w:rPr>
                <w:rFonts w:ascii="Arial" w:hAnsi="Arial" w:cs="Arial"/>
                <w:b/>
                <w:bCs/>
                <w:color w:val="000000"/>
                <w:sz w:val="16"/>
                <w:szCs w:val="16"/>
                <w:lang w:eastAsia="en-CA"/>
              </w:rPr>
              <w:t>%</w:t>
            </w:r>
          </w:p>
        </w:tc>
        <w:tc>
          <w:tcPr>
            <w:tcW w:w="1843" w:type="dxa"/>
            <w:tcBorders>
              <w:top w:val="nil"/>
              <w:left w:val="nil"/>
              <w:right w:val="nil"/>
            </w:tcBorders>
            <w:shd w:val="clear" w:color="auto" w:fill="auto"/>
            <w:noWrap/>
            <w:vAlign w:val="center"/>
            <w:hideMark/>
          </w:tcPr>
          <w:p w14:paraId="2D853D5F" w14:textId="7BE26DCF" w:rsidR="002629E5" w:rsidRPr="00CE4B8F" w:rsidRDefault="002629E5" w:rsidP="001404EC">
            <w:pPr>
              <w:jc w:val="right"/>
              <w:rPr>
                <w:rFonts w:ascii="Arial" w:hAnsi="Arial" w:cs="Arial"/>
                <w:color w:val="000000"/>
                <w:sz w:val="16"/>
                <w:szCs w:val="16"/>
                <w:lang w:eastAsia="en-CA"/>
              </w:rPr>
            </w:pPr>
            <w:r w:rsidRPr="00CE4B8F">
              <w:rPr>
                <w:rFonts w:ascii="Arial" w:hAnsi="Arial"/>
                <w:color w:val="000000"/>
                <w:sz w:val="16"/>
              </w:rPr>
              <w:t>0.</w:t>
            </w:r>
            <w:r w:rsidR="00CE4B8F" w:rsidRPr="00CE4B8F">
              <w:rPr>
                <w:rFonts w:ascii="Arial" w:hAnsi="Arial"/>
                <w:color w:val="000000"/>
                <w:sz w:val="16"/>
              </w:rPr>
              <w:t>95</w:t>
            </w:r>
            <w:r w:rsidR="00BC1781" w:rsidRPr="00CE4B8F">
              <w:rPr>
                <w:rFonts w:ascii="Arial" w:hAnsi="Arial"/>
                <w:color w:val="000000"/>
                <w:sz w:val="16"/>
              </w:rPr>
              <w:t>%</w:t>
            </w:r>
            <w:r w:rsidR="00CE4B8F" w:rsidRPr="00CE4B8F">
              <w:rPr>
                <w:rFonts w:ascii="Arial" w:hAnsi="Arial"/>
                <w:color w:val="000000"/>
                <w:sz w:val="16"/>
              </w:rPr>
              <w:t>-3.23%</w:t>
            </w:r>
          </w:p>
        </w:tc>
      </w:tr>
      <w:tr w:rsidR="00D532D4" w:rsidRPr="00CE4B8F" w14:paraId="71687D72" w14:textId="77777777" w:rsidTr="005C0E14">
        <w:trPr>
          <w:trHeight w:val="236"/>
        </w:trPr>
        <w:tc>
          <w:tcPr>
            <w:tcW w:w="4446" w:type="dxa"/>
            <w:tcBorders>
              <w:top w:val="nil"/>
              <w:left w:val="nil"/>
              <w:right w:val="nil"/>
            </w:tcBorders>
            <w:shd w:val="clear" w:color="auto" w:fill="auto"/>
            <w:vAlign w:val="center"/>
          </w:tcPr>
          <w:p w14:paraId="1509B1D5" w14:textId="21701A9D" w:rsidR="002629E5" w:rsidRPr="00CE4B8F" w:rsidRDefault="002629E5" w:rsidP="001404EC">
            <w:pPr>
              <w:rPr>
                <w:rFonts w:ascii="Arial" w:hAnsi="Arial" w:cs="Arial"/>
                <w:sz w:val="16"/>
                <w:szCs w:val="16"/>
                <w:lang w:eastAsia="en-CA"/>
              </w:rPr>
            </w:pPr>
            <w:r w:rsidRPr="00CE4B8F">
              <w:rPr>
                <w:rFonts w:ascii="Arial" w:hAnsi="Arial"/>
                <w:sz w:val="16"/>
              </w:rPr>
              <w:t>Annualized volatility</w:t>
            </w:r>
          </w:p>
        </w:tc>
        <w:tc>
          <w:tcPr>
            <w:tcW w:w="1843" w:type="dxa"/>
            <w:tcBorders>
              <w:top w:val="nil"/>
              <w:left w:val="nil"/>
              <w:right w:val="nil"/>
            </w:tcBorders>
            <w:shd w:val="clear" w:color="auto" w:fill="auto"/>
            <w:noWrap/>
            <w:vAlign w:val="center"/>
          </w:tcPr>
          <w:p w14:paraId="2FF7EA0F" w14:textId="12E7C95F" w:rsidR="002629E5" w:rsidRPr="00CE4B8F" w:rsidRDefault="00023869" w:rsidP="001404EC">
            <w:pPr>
              <w:jc w:val="right"/>
              <w:rPr>
                <w:rFonts w:ascii="Arial" w:hAnsi="Arial" w:cs="Arial"/>
                <w:b/>
                <w:bCs/>
                <w:color w:val="000000"/>
                <w:sz w:val="16"/>
                <w:szCs w:val="16"/>
                <w:lang w:eastAsia="en-CA"/>
              </w:rPr>
            </w:pPr>
            <w:r w:rsidRPr="00CE4B8F">
              <w:rPr>
                <w:rFonts w:ascii="Arial" w:hAnsi="Arial" w:cs="Arial"/>
                <w:b/>
                <w:bCs/>
                <w:color w:val="000000"/>
                <w:sz w:val="16"/>
                <w:szCs w:val="16"/>
                <w:lang w:eastAsia="en-CA"/>
              </w:rPr>
              <w:t>8</w:t>
            </w:r>
            <w:r w:rsidR="00CE4B8F" w:rsidRPr="00CE4B8F">
              <w:rPr>
                <w:rFonts w:ascii="Arial" w:hAnsi="Arial" w:cs="Arial"/>
                <w:b/>
                <w:bCs/>
                <w:color w:val="000000"/>
                <w:sz w:val="16"/>
                <w:szCs w:val="16"/>
                <w:lang w:eastAsia="en-CA"/>
              </w:rPr>
              <w:t>7.4</w:t>
            </w:r>
            <w:r w:rsidR="00F41EC9" w:rsidRPr="00CE4B8F">
              <w:rPr>
                <w:rFonts w:ascii="Arial" w:hAnsi="Arial" w:cs="Arial"/>
                <w:b/>
                <w:bCs/>
                <w:color w:val="000000"/>
                <w:sz w:val="16"/>
                <w:szCs w:val="16"/>
                <w:lang w:eastAsia="en-CA"/>
              </w:rPr>
              <w:t>7</w:t>
            </w:r>
            <w:r w:rsidRPr="00CE4B8F">
              <w:rPr>
                <w:rFonts w:ascii="Arial" w:hAnsi="Arial" w:cs="Arial"/>
                <w:b/>
                <w:bCs/>
                <w:color w:val="000000"/>
                <w:sz w:val="16"/>
                <w:szCs w:val="16"/>
                <w:lang w:eastAsia="en-CA"/>
              </w:rPr>
              <w:t>%</w:t>
            </w:r>
          </w:p>
        </w:tc>
        <w:tc>
          <w:tcPr>
            <w:tcW w:w="1843" w:type="dxa"/>
            <w:tcBorders>
              <w:top w:val="nil"/>
              <w:left w:val="nil"/>
              <w:right w:val="nil"/>
            </w:tcBorders>
            <w:shd w:val="clear" w:color="auto" w:fill="auto"/>
            <w:noWrap/>
            <w:vAlign w:val="center"/>
          </w:tcPr>
          <w:p w14:paraId="54DB0555" w14:textId="70D3020C" w:rsidR="002629E5" w:rsidRPr="00CE4B8F" w:rsidRDefault="00CE4B8F" w:rsidP="001404EC">
            <w:pPr>
              <w:jc w:val="right"/>
              <w:rPr>
                <w:rFonts w:ascii="Arial" w:hAnsi="Arial" w:cs="Arial"/>
                <w:color w:val="000000"/>
                <w:sz w:val="16"/>
                <w:szCs w:val="16"/>
                <w:lang w:eastAsia="en-CA"/>
              </w:rPr>
            </w:pPr>
            <w:r w:rsidRPr="00CE4B8F">
              <w:rPr>
                <w:rFonts w:ascii="Arial" w:hAnsi="Arial" w:cs="Arial"/>
                <w:color w:val="000000"/>
                <w:sz w:val="16"/>
                <w:szCs w:val="16"/>
                <w:lang w:eastAsia="en-CA"/>
              </w:rPr>
              <w:t>86.87</w:t>
            </w:r>
            <w:r w:rsidR="002629E5" w:rsidRPr="00CE4B8F">
              <w:rPr>
                <w:rFonts w:ascii="Arial" w:hAnsi="Arial" w:cs="Arial"/>
                <w:color w:val="000000"/>
                <w:sz w:val="16"/>
                <w:szCs w:val="16"/>
                <w:lang w:eastAsia="en-CA"/>
              </w:rPr>
              <w:t>%</w:t>
            </w:r>
          </w:p>
        </w:tc>
      </w:tr>
      <w:tr w:rsidR="002E304E" w:rsidRPr="00CE4B8F" w14:paraId="6FE39D15" w14:textId="77777777" w:rsidTr="005C0E14">
        <w:trPr>
          <w:trHeight w:val="236"/>
        </w:trPr>
        <w:tc>
          <w:tcPr>
            <w:tcW w:w="4446" w:type="dxa"/>
            <w:tcBorders>
              <w:top w:val="nil"/>
              <w:left w:val="nil"/>
              <w:right w:val="nil"/>
            </w:tcBorders>
            <w:shd w:val="clear" w:color="auto" w:fill="auto"/>
            <w:vAlign w:val="center"/>
          </w:tcPr>
          <w:p w14:paraId="50498963" w14:textId="11138126" w:rsidR="002629E5" w:rsidRPr="00CE4B8F" w:rsidRDefault="002629E5" w:rsidP="001404EC">
            <w:pPr>
              <w:rPr>
                <w:rFonts w:ascii="Arial" w:hAnsi="Arial" w:cs="Arial"/>
                <w:sz w:val="16"/>
                <w:szCs w:val="16"/>
                <w:lang w:eastAsia="en-CA"/>
              </w:rPr>
            </w:pPr>
            <w:r w:rsidRPr="00CE4B8F">
              <w:rPr>
                <w:rFonts w:ascii="Arial" w:hAnsi="Arial"/>
                <w:sz w:val="16"/>
              </w:rPr>
              <w:t>Expected dividend</w:t>
            </w:r>
          </w:p>
        </w:tc>
        <w:tc>
          <w:tcPr>
            <w:tcW w:w="1843" w:type="dxa"/>
            <w:tcBorders>
              <w:top w:val="nil"/>
              <w:left w:val="nil"/>
              <w:right w:val="nil"/>
            </w:tcBorders>
            <w:shd w:val="clear" w:color="auto" w:fill="auto"/>
            <w:noWrap/>
            <w:vAlign w:val="center"/>
          </w:tcPr>
          <w:p w14:paraId="30287FE5" w14:textId="7C23FBD9" w:rsidR="002629E5" w:rsidRPr="00CE4B8F" w:rsidRDefault="002629E5" w:rsidP="001404EC">
            <w:pPr>
              <w:jc w:val="right"/>
              <w:rPr>
                <w:rFonts w:ascii="Arial" w:hAnsi="Arial" w:cs="Arial"/>
                <w:b/>
                <w:bCs/>
                <w:color w:val="000000"/>
                <w:sz w:val="16"/>
                <w:szCs w:val="16"/>
                <w:lang w:eastAsia="en-CA"/>
              </w:rPr>
            </w:pPr>
            <w:r w:rsidRPr="00CE4B8F">
              <w:rPr>
                <w:rFonts w:ascii="Arial" w:hAnsi="Arial" w:cs="Arial"/>
                <w:b/>
                <w:bCs/>
                <w:color w:val="000000"/>
                <w:sz w:val="16"/>
                <w:szCs w:val="16"/>
                <w:lang w:eastAsia="en-CA"/>
              </w:rPr>
              <w:t>Nil</w:t>
            </w:r>
          </w:p>
        </w:tc>
        <w:tc>
          <w:tcPr>
            <w:tcW w:w="1843" w:type="dxa"/>
            <w:tcBorders>
              <w:top w:val="nil"/>
              <w:left w:val="nil"/>
              <w:right w:val="nil"/>
            </w:tcBorders>
            <w:shd w:val="clear" w:color="auto" w:fill="auto"/>
            <w:noWrap/>
            <w:vAlign w:val="center"/>
          </w:tcPr>
          <w:p w14:paraId="1CBF415F" w14:textId="13BB02C0" w:rsidR="002629E5" w:rsidRPr="00CE4B8F" w:rsidRDefault="002629E5" w:rsidP="001404EC">
            <w:pPr>
              <w:jc w:val="right"/>
              <w:rPr>
                <w:rFonts w:ascii="Arial" w:hAnsi="Arial" w:cs="Arial"/>
                <w:color w:val="000000"/>
                <w:sz w:val="16"/>
                <w:szCs w:val="16"/>
                <w:lang w:eastAsia="en-CA"/>
              </w:rPr>
            </w:pPr>
            <w:r w:rsidRPr="00CE4B8F">
              <w:rPr>
                <w:rFonts w:ascii="Arial" w:hAnsi="Arial" w:cs="Arial"/>
                <w:color w:val="000000"/>
                <w:sz w:val="16"/>
                <w:szCs w:val="16"/>
                <w:lang w:eastAsia="en-CA"/>
              </w:rPr>
              <w:t>Nil</w:t>
            </w:r>
          </w:p>
        </w:tc>
      </w:tr>
      <w:tr w:rsidR="002E304E" w:rsidRPr="00CE4B8F" w14:paraId="7AB7DDB2" w14:textId="77777777" w:rsidTr="005C0E14">
        <w:trPr>
          <w:trHeight w:val="236"/>
        </w:trPr>
        <w:tc>
          <w:tcPr>
            <w:tcW w:w="4446" w:type="dxa"/>
            <w:tcBorders>
              <w:top w:val="nil"/>
              <w:left w:val="nil"/>
              <w:bottom w:val="nil"/>
              <w:right w:val="nil"/>
            </w:tcBorders>
            <w:shd w:val="clear" w:color="auto" w:fill="auto"/>
            <w:vAlign w:val="center"/>
          </w:tcPr>
          <w:p w14:paraId="3820D1A2" w14:textId="29740664" w:rsidR="002629E5" w:rsidRPr="00CE4B8F" w:rsidRDefault="002629E5" w:rsidP="001404EC">
            <w:pPr>
              <w:rPr>
                <w:rFonts w:ascii="Arial" w:hAnsi="Arial" w:cs="Arial"/>
                <w:sz w:val="16"/>
                <w:szCs w:val="16"/>
                <w:lang w:eastAsia="en-CA"/>
              </w:rPr>
            </w:pPr>
            <w:r w:rsidRPr="00CE4B8F">
              <w:rPr>
                <w:rFonts w:ascii="Arial" w:hAnsi="Arial"/>
                <w:sz w:val="16"/>
              </w:rPr>
              <w:t>Expected option life</w:t>
            </w:r>
          </w:p>
        </w:tc>
        <w:tc>
          <w:tcPr>
            <w:tcW w:w="1843" w:type="dxa"/>
            <w:tcBorders>
              <w:top w:val="nil"/>
              <w:left w:val="nil"/>
              <w:bottom w:val="nil"/>
              <w:right w:val="nil"/>
            </w:tcBorders>
            <w:shd w:val="clear" w:color="auto" w:fill="auto"/>
            <w:noWrap/>
            <w:vAlign w:val="center"/>
          </w:tcPr>
          <w:p w14:paraId="5E170F7D" w14:textId="773C6BEA" w:rsidR="002629E5" w:rsidRPr="00CE4B8F" w:rsidRDefault="003B4ADC" w:rsidP="001404EC">
            <w:pPr>
              <w:jc w:val="right"/>
              <w:rPr>
                <w:rFonts w:ascii="Arial" w:hAnsi="Arial" w:cs="Arial"/>
                <w:b/>
                <w:bCs/>
                <w:color w:val="000000"/>
                <w:sz w:val="16"/>
                <w:szCs w:val="16"/>
                <w:lang w:eastAsia="en-CA"/>
              </w:rPr>
            </w:pPr>
            <w:r w:rsidRPr="00CE4B8F">
              <w:rPr>
                <w:rFonts w:ascii="Arial" w:hAnsi="Arial" w:cs="Arial"/>
                <w:b/>
                <w:bCs/>
                <w:color w:val="000000"/>
                <w:sz w:val="16"/>
                <w:szCs w:val="16"/>
                <w:lang w:eastAsia="en-CA"/>
              </w:rPr>
              <w:t>5 years</w:t>
            </w:r>
          </w:p>
        </w:tc>
        <w:tc>
          <w:tcPr>
            <w:tcW w:w="1843" w:type="dxa"/>
            <w:tcBorders>
              <w:top w:val="nil"/>
              <w:left w:val="nil"/>
              <w:bottom w:val="nil"/>
              <w:right w:val="nil"/>
            </w:tcBorders>
            <w:shd w:val="clear" w:color="auto" w:fill="auto"/>
            <w:noWrap/>
            <w:vAlign w:val="center"/>
          </w:tcPr>
          <w:p w14:paraId="35BA0DDF" w14:textId="52A58933" w:rsidR="002629E5" w:rsidRPr="00CE4B8F" w:rsidRDefault="003B4ADC" w:rsidP="001404EC">
            <w:pPr>
              <w:jc w:val="right"/>
              <w:rPr>
                <w:rFonts w:ascii="Arial" w:hAnsi="Arial" w:cs="Arial"/>
                <w:color w:val="000000"/>
                <w:sz w:val="16"/>
                <w:szCs w:val="16"/>
                <w:lang w:eastAsia="en-CA"/>
              </w:rPr>
            </w:pPr>
            <w:r w:rsidRPr="00CE4B8F">
              <w:rPr>
                <w:rFonts w:ascii="Arial" w:hAnsi="Arial" w:cs="Arial"/>
                <w:color w:val="000000"/>
                <w:sz w:val="16"/>
                <w:szCs w:val="16"/>
                <w:lang w:eastAsia="en-CA"/>
              </w:rPr>
              <w:t>5 years</w:t>
            </w:r>
          </w:p>
        </w:tc>
      </w:tr>
      <w:tr w:rsidR="00726553" w:rsidRPr="002E304E" w14:paraId="2B89ABEF" w14:textId="77777777" w:rsidTr="005C0E14">
        <w:trPr>
          <w:trHeight w:val="236"/>
        </w:trPr>
        <w:tc>
          <w:tcPr>
            <w:tcW w:w="4446" w:type="dxa"/>
            <w:tcBorders>
              <w:top w:val="nil"/>
              <w:left w:val="nil"/>
              <w:right w:val="nil"/>
            </w:tcBorders>
            <w:shd w:val="clear" w:color="auto" w:fill="auto"/>
            <w:vAlign w:val="center"/>
          </w:tcPr>
          <w:p w14:paraId="422EE57C" w14:textId="0C74A2A0" w:rsidR="00726553" w:rsidRPr="00CE4B8F" w:rsidRDefault="00726553" w:rsidP="001404EC">
            <w:pPr>
              <w:rPr>
                <w:rFonts w:ascii="Arial" w:hAnsi="Arial"/>
                <w:sz w:val="16"/>
              </w:rPr>
            </w:pPr>
            <w:r w:rsidRPr="00CE4B8F">
              <w:rPr>
                <w:rFonts w:ascii="Arial" w:hAnsi="Arial"/>
                <w:sz w:val="16"/>
              </w:rPr>
              <w:t>Forfeiture rate</w:t>
            </w:r>
          </w:p>
        </w:tc>
        <w:tc>
          <w:tcPr>
            <w:tcW w:w="1843" w:type="dxa"/>
            <w:tcBorders>
              <w:top w:val="nil"/>
              <w:left w:val="nil"/>
              <w:right w:val="nil"/>
            </w:tcBorders>
            <w:shd w:val="clear" w:color="auto" w:fill="auto"/>
            <w:noWrap/>
            <w:vAlign w:val="center"/>
          </w:tcPr>
          <w:p w14:paraId="1C26A210" w14:textId="76931AF3" w:rsidR="00726553" w:rsidRPr="00CE4B8F" w:rsidRDefault="00726553" w:rsidP="001404EC">
            <w:pPr>
              <w:jc w:val="right"/>
              <w:rPr>
                <w:rFonts w:ascii="Arial" w:hAnsi="Arial" w:cs="Arial"/>
                <w:b/>
                <w:bCs/>
                <w:color w:val="000000"/>
                <w:sz w:val="16"/>
                <w:szCs w:val="16"/>
                <w:lang w:eastAsia="en-CA"/>
              </w:rPr>
            </w:pPr>
            <w:r w:rsidRPr="00CE4B8F">
              <w:rPr>
                <w:rFonts w:ascii="Arial" w:hAnsi="Arial" w:cs="Arial"/>
                <w:b/>
                <w:bCs/>
                <w:color w:val="000000"/>
                <w:sz w:val="16"/>
                <w:szCs w:val="16"/>
                <w:lang w:eastAsia="en-CA"/>
              </w:rPr>
              <w:t>Nil</w:t>
            </w:r>
          </w:p>
        </w:tc>
        <w:tc>
          <w:tcPr>
            <w:tcW w:w="1843" w:type="dxa"/>
            <w:tcBorders>
              <w:top w:val="nil"/>
              <w:left w:val="nil"/>
              <w:right w:val="nil"/>
            </w:tcBorders>
            <w:shd w:val="clear" w:color="auto" w:fill="auto"/>
            <w:noWrap/>
            <w:vAlign w:val="center"/>
          </w:tcPr>
          <w:p w14:paraId="1123F564" w14:textId="52DEAE24" w:rsidR="00726553" w:rsidRPr="00705B34" w:rsidRDefault="00726553" w:rsidP="001404EC">
            <w:pPr>
              <w:jc w:val="right"/>
              <w:rPr>
                <w:rFonts w:ascii="Arial" w:hAnsi="Arial" w:cs="Arial"/>
                <w:color w:val="000000"/>
                <w:sz w:val="16"/>
                <w:szCs w:val="16"/>
                <w:lang w:eastAsia="en-CA"/>
              </w:rPr>
            </w:pPr>
            <w:r w:rsidRPr="00CE4B8F">
              <w:rPr>
                <w:rFonts w:ascii="Arial" w:hAnsi="Arial" w:cs="Arial"/>
                <w:color w:val="000000"/>
                <w:sz w:val="16"/>
                <w:szCs w:val="16"/>
                <w:lang w:eastAsia="en-CA"/>
              </w:rPr>
              <w:t>Nil</w:t>
            </w:r>
          </w:p>
        </w:tc>
      </w:tr>
    </w:tbl>
    <w:p w14:paraId="3ED44FE8" w14:textId="720A4534" w:rsidR="002629E5" w:rsidRPr="002E304E" w:rsidRDefault="002629E5" w:rsidP="005C0E14">
      <w:pPr>
        <w:pStyle w:val="BodyText"/>
        <w:ind w:left="851" w:right="777"/>
        <w:jc w:val="both"/>
        <w:rPr>
          <w:rFonts w:ascii="Arial" w:hAnsi="Arial" w:cs="Arial"/>
        </w:rPr>
      </w:pPr>
    </w:p>
    <w:p w14:paraId="0FDB3DA3" w14:textId="3B29193A" w:rsidR="0065794D" w:rsidRPr="006A1266" w:rsidRDefault="0065794D" w:rsidP="005C0E14">
      <w:pPr>
        <w:pStyle w:val="BodyText"/>
        <w:ind w:left="851" w:right="777"/>
        <w:jc w:val="both"/>
        <w:rPr>
          <w:rFonts w:ascii="Arial" w:hAnsi="Arial" w:cs="Arial"/>
          <w:b/>
          <w:bCs/>
        </w:rPr>
      </w:pPr>
      <w:r w:rsidRPr="00F56223">
        <w:rPr>
          <w:rFonts w:ascii="Arial" w:hAnsi="Arial" w:cs="Arial"/>
          <w:b/>
          <w:bCs/>
        </w:rPr>
        <w:t>v</w:t>
      </w:r>
      <w:r w:rsidRPr="006A1266">
        <w:rPr>
          <w:rFonts w:ascii="Arial" w:hAnsi="Arial" w:cs="Arial"/>
          <w:b/>
          <w:bCs/>
        </w:rPr>
        <w:t>. Restricted Share Units</w:t>
      </w:r>
    </w:p>
    <w:p w14:paraId="4829861B" w14:textId="77777777" w:rsidR="00E9009E" w:rsidRPr="00F56223" w:rsidRDefault="00E9009E" w:rsidP="005C0E14">
      <w:pPr>
        <w:pStyle w:val="BodyText"/>
        <w:ind w:left="851" w:right="777"/>
        <w:jc w:val="both"/>
        <w:rPr>
          <w:rFonts w:ascii="Arial" w:hAnsi="Arial" w:cs="Arial"/>
        </w:rPr>
      </w:pPr>
    </w:p>
    <w:p w14:paraId="40301E03" w14:textId="0416B855" w:rsidR="00B135CE" w:rsidRPr="006A1266" w:rsidRDefault="00B135CE" w:rsidP="005C0E14">
      <w:pPr>
        <w:pStyle w:val="BodyText"/>
        <w:ind w:left="851" w:right="777"/>
        <w:jc w:val="both"/>
        <w:rPr>
          <w:rFonts w:ascii="Arial" w:hAnsi="Arial" w:cs="Arial"/>
        </w:rPr>
      </w:pPr>
      <w:r w:rsidRPr="006A1266">
        <w:rPr>
          <w:rFonts w:ascii="Arial" w:hAnsi="Arial" w:cs="Arial"/>
        </w:rPr>
        <w:t xml:space="preserve">1,070,000 Restricted Share Units ("RSUs") were issued in 2020 under the restricted share unit plan of the Corporation. </w:t>
      </w:r>
      <w:r w:rsidR="00BE4868" w:rsidRPr="006A1266">
        <w:rPr>
          <w:rFonts w:ascii="Arial" w:hAnsi="Arial" w:cs="Arial"/>
        </w:rPr>
        <w:t>The RSUs</w:t>
      </w:r>
      <w:r w:rsidRPr="006A1266">
        <w:rPr>
          <w:rFonts w:ascii="Arial" w:hAnsi="Arial" w:cs="Arial"/>
        </w:rPr>
        <w:t xml:space="preserve"> vest equally over a </w:t>
      </w:r>
      <w:r w:rsidR="00E03D91" w:rsidRPr="006A1266">
        <w:rPr>
          <w:rFonts w:ascii="Arial" w:hAnsi="Arial" w:cs="Arial"/>
        </w:rPr>
        <w:t>three-year</w:t>
      </w:r>
      <w:r w:rsidRPr="006A1266">
        <w:rPr>
          <w:rFonts w:ascii="Arial" w:hAnsi="Arial" w:cs="Arial"/>
        </w:rPr>
        <w:t xml:space="preserve"> period, vesting on August 31</w:t>
      </w:r>
      <w:r w:rsidR="00E03D91" w:rsidRPr="006A1266">
        <w:rPr>
          <w:rFonts w:ascii="Arial" w:hAnsi="Arial" w:cs="Arial"/>
        </w:rPr>
        <w:t>, 2020</w:t>
      </w:r>
      <w:r w:rsidRPr="006A1266">
        <w:rPr>
          <w:rFonts w:ascii="Arial" w:hAnsi="Arial" w:cs="Arial"/>
        </w:rPr>
        <w:t xml:space="preserve">, April 29, </w:t>
      </w:r>
      <w:r w:rsidR="00E03D91" w:rsidRPr="006A1266">
        <w:rPr>
          <w:rFonts w:ascii="Arial" w:hAnsi="Arial" w:cs="Arial"/>
        </w:rPr>
        <w:t>2021,</w:t>
      </w:r>
      <w:r w:rsidRPr="006A1266">
        <w:rPr>
          <w:rFonts w:ascii="Arial" w:hAnsi="Arial" w:cs="Arial"/>
        </w:rPr>
        <w:t xml:space="preserve"> and April 29, 2022. Each RSU has the same value as one Wolfden Resources Corporation common share. Additional, 1,208,750 Restricted Share Units ("RSUs") were issued under the restricted share unit plan of the Corporation in 2019. The RSUs vest equally over a </w:t>
      </w:r>
      <w:r w:rsidR="00F54011" w:rsidRPr="006A1266">
        <w:rPr>
          <w:rFonts w:ascii="Arial" w:hAnsi="Arial" w:cs="Arial"/>
        </w:rPr>
        <w:t>three-year</w:t>
      </w:r>
      <w:r w:rsidRPr="006A1266">
        <w:rPr>
          <w:rFonts w:ascii="Arial" w:hAnsi="Arial" w:cs="Arial"/>
        </w:rPr>
        <w:t xml:space="preserve"> period, vesting on June 26, 2019, April 29, 2020 and April 29, 2021.The RSUs are expected to be settled in equity and are therefore accounted for as equity instruments.</w:t>
      </w:r>
    </w:p>
    <w:p w14:paraId="53FDBC31" w14:textId="77777777" w:rsidR="00E9009E" w:rsidRPr="00F56223" w:rsidRDefault="00E9009E" w:rsidP="005C0E14">
      <w:pPr>
        <w:pStyle w:val="BodyText"/>
        <w:ind w:left="851" w:right="777"/>
        <w:jc w:val="both"/>
        <w:rPr>
          <w:rFonts w:ascii="Arial" w:hAnsi="Arial" w:cs="Arial"/>
        </w:rPr>
      </w:pPr>
    </w:p>
    <w:p w14:paraId="4C6287B1" w14:textId="65944F6D" w:rsidR="00F41EC9" w:rsidRDefault="00F41EC9" w:rsidP="005C0E14">
      <w:pPr>
        <w:pStyle w:val="BodyText"/>
        <w:ind w:left="851" w:right="777"/>
        <w:jc w:val="both"/>
        <w:rPr>
          <w:rFonts w:ascii="Arial" w:hAnsi="Arial" w:cs="Arial"/>
        </w:rPr>
      </w:pPr>
      <w:r w:rsidRPr="003C2AE2">
        <w:rPr>
          <w:rFonts w:ascii="Arial" w:hAnsi="Arial" w:cs="Arial"/>
        </w:rPr>
        <w:t xml:space="preserve">A </w:t>
      </w:r>
      <w:r w:rsidR="006A1266" w:rsidRPr="003C2AE2">
        <w:rPr>
          <w:rFonts w:ascii="Arial" w:hAnsi="Arial" w:cs="Arial"/>
        </w:rPr>
        <w:t>share-based</w:t>
      </w:r>
      <w:r w:rsidRPr="003C2AE2">
        <w:rPr>
          <w:rFonts w:ascii="Arial" w:hAnsi="Arial" w:cs="Arial"/>
        </w:rPr>
        <w:t xml:space="preserve"> payment expense of $12,036 was recorded for the year ended December 31, 2022.</w:t>
      </w:r>
      <w:r w:rsidRPr="006A1266">
        <w:rPr>
          <w:rFonts w:ascii="Arial" w:hAnsi="Arial" w:cs="Arial"/>
        </w:rPr>
        <w:t xml:space="preserve"> During the year, 356,668 shares vested at $0.22 per share and the Corporation credited $78,467 to share capital in respect of the shares issued. As </w:t>
      </w:r>
      <w:proofErr w:type="gramStart"/>
      <w:r w:rsidRPr="006A1266">
        <w:rPr>
          <w:rFonts w:ascii="Arial" w:hAnsi="Arial" w:cs="Arial"/>
        </w:rPr>
        <w:t>at</w:t>
      </w:r>
      <w:proofErr w:type="gramEnd"/>
      <w:r w:rsidRPr="006A1266">
        <w:rPr>
          <w:rFonts w:ascii="Arial" w:hAnsi="Arial" w:cs="Arial"/>
        </w:rPr>
        <w:t xml:space="preserve"> December 31, 2022, there were no RSU's </w:t>
      </w:r>
      <w:r w:rsidR="009B489B" w:rsidRPr="006A1266">
        <w:rPr>
          <w:rFonts w:ascii="Arial" w:hAnsi="Arial" w:cs="Arial"/>
        </w:rPr>
        <w:t>outstanding. The</w:t>
      </w:r>
      <w:r w:rsidRPr="006A1266">
        <w:rPr>
          <w:rFonts w:ascii="Arial" w:hAnsi="Arial" w:cs="Arial"/>
        </w:rPr>
        <w:t xml:space="preserve"> RSU’s may be converted into common shares of the Corporation, at the option of the Corporation.</w:t>
      </w:r>
    </w:p>
    <w:p w14:paraId="73BDFDC2" w14:textId="77777777" w:rsidR="00146190" w:rsidRPr="001B14C4" w:rsidRDefault="00146190" w:rsidP="005C0E14">
      <w:pPr>
        <w:pStyle w:val="BodyText"/>
        <w:ind w:left="851" w:right="777"/>
        <w:jc w:val="both"/>
        <w:rPr>
          <w:rFonts w:ascii="Arial" w:hAnsi="Arial" w:cs="Arial"/>
          <w:sz w:val="24"/>
          <w:szCs w:val="24"/>
        </w:rPr>
      </w:pPr>
    </w:p>
    <w:p w14:paraId="1B4007C4" w14:textId="59894F27" w:rsidR="003F39FF" w:rsidRPr="00A10E12" w:rsidRDefault="005C0E14" w:rsidP="005C0E14">
      <w:pPr>
        <w:pStyle w:val="ListParagraph"/>
        <w:numPr>
          <w:ilvl w:val="0"/>
          <w:numId w:val="26"/>
        </w:numPr>
        <w:tabs>
          <w:tab w:val="left" w:pos="1038"/>
        </w:tabs>
        <w:ind w:left="851" w:firstLine="0"/>
        <w:rPr>
          <w:rFonts w:ascii="Arial" w:hAnsi="Arial" w:cs="Arial"/>
          <w:b/>
          <w:bCs/>
          <w:sz w:val="16"/>
          <w:szCs w:val="16"/>
        </w:rPr>
      </w:pPr>
      <w:r>
        <w:rPr>
          <w:rFonts w:ascii="Arial" w:hAnsi="Arial" w:cs="Arial"/>
          <w:b/>
          <w:bCs/>
          <w:sz w:val="16"/>
          <w:szCs w:val="16"/>
        </w:rPr>
        <w:t xml:space="preserve"> </w:t>
      </w:r>
      <w:r w:rsidR="003F39FF" w:rsidRPr="00A10E12">
        <w:rPr>
          <w:rFonts w:ascii="Arial" w:hAnsi="Arial" w:cs="Arial"/>
          <w:b/>
          <w:bCs/>
          <w:sz w:val="16"/>
          <w:szCs w:val="16"/>
        </w:rPr>
        <w:t>LOSS PER SHARE</w:t>
      </w:r>
    </w:p>
    <w:p w14:paraId="0F694160" w14:textId="77777777" w:rsidR="00E9009E" w:rsidRPr="00F56223" w:rsidRDefault="00E9009E" w:rsidP="005C0E14">
      <w:pPr>
        <w:pStyle w:val="BodyText"/>
        <w:ind w:left="851" w:right="777"/>
        <w:jc w:val="both"/>
        <w:rPr>
          <w:rFonts w:ascii="Arial" w:hAnsi="Arial" w:cs="Arial"/>
        </w:rPr>
      </w:pPr>
    </w:p>
    <w:p w14:paraId="1FCA7D00" w14:textId="4EE971FD" w:rsidR="003F39FF" w:rsidRPr="008B1A75" w:rsidRDefault="003F39FF" w:rsidP="005C0E14">
      <w:pPr>
        <w:pStyle w:val="BodyText"/>
        <w:ind w:left="851" w:right="777"/>
        <w:jc w:val="both"/>
        <w:rPr>
          <w:rFonts w:ascii="Arial" w:hAnsi="Arial" w:cs="Arial"/>
        </w:rPr>
      </w:pPr>
      <w:r w:rsidRPr="008B1A75">
        <w:rPr>
          <w:rFonts w:ascii="Arial" w:hAnsi="Arial" w:cs="Arial"/>
        </w:rPr>
        <w:t>Both the basic and diluted earnings per share have been calculated using the loss attributable to shareholders of the Corporation as the numerator. No adjustments to loss were necessary in 202</w:t>
      </w:r>
      <w:r w:rsidR="00257B08">
        <w:rPr>
          <w:rFonts w:ascii="Arial" w:hAnsi="Arial" w:cs="Arial"/>
        </w:rPr>
        <w:t>3</w:t>
      </w:r>
      <w:r w:rsidRPr="008B1A75">
        <w:rPr>
          <w:rFonts w:ascii="Arial" w:hAnsi="Arial" w:cs="Arial"/>
        </w:rPr>
        <w:t xml:space="preserve"> or 20</w:t>
      </w:r>
      <w:r w:rsidR="00411D66" w:rsidRPr="008B1A75">
        <w:rPr>
          <w:rFonts w:ascii="Arial" w:hAnsi="Arial" w:cs="Arial"/>
        </w:rPr>
        <w:t>2</w:t>
      </w:r>
      <w:r w:rsidR="00257B08">
        <w:rPr>
          <w:rFonts w:ascii="Arial" w:hAnsi="Arial" w:cs="Arial"/>
        </w:rPr>
        <w:t>2</w:t>
      </w:r>
      <w:r w:rsidRPr="008B1A75">
        <w:rPr>
          <w:rFonts w:ascii="Arial" w:hAnsi="Arial" w:cs="Arial"/>
        </w:rPr>
        <w:t>.</w:t>
      </w:r>
    </w:p>
    <w:p w14:paraId="362A2B2A" w14:textId="77777777" w:rsidR="003F39FF" w:rsidRPr="008B1A75" w:rsidRDefault="003F39FF" w:rsidP="005C0E14">
      <w:pPr>
        <w:pStyle w:val="BodyText"/>
        <w:ind w:left="851" w:right="777"/>
        <w:jc w:val="both"/>
        <w:rPr>
          <w:rFonts w:ascii="Arial" w:hAnsi="Arial" w:cs="Arial"/>
        </w:rPr>
      </w:pPr>
    </w:p>
    <w:p w14:paraId="064C8589" w14:textId="12F38457" w:rsidR="003F39FF" w:rsidRPr="00257B08" w:rsidRDefault="003F39FF" w:rsidP="003F39FF">
      <w:pPr>
        <w:ind w:left="720"/>
        <w:rPr>
          <w:rFonts w:ascii="Arial" w:eastAsiaTheme="minorHAnsi" w:hAnsi="Arial" w:cs="Arial"/>
          <w:sz w:val="16"/>
          <w:szCs w:val="16"/>
        </w:rPr>
      </w:pPr>
      <w:r w:rsidRPr="00257B08">
        <w:rPr>
          <w:rFonts w:ascii="Arial" w:hAnsi="Arial" w:cs="Arial"/>
        </w:rPr>
        <w:fldChar w:fldCharType="begin"/>
      </w:r>
      <w:r w:rsidRPr="00257B08">
        <w:rPr>
          <w:rFonts w:ascii="Arial" w:hAnsi="Arial" w:cs="Arial"/>
        </w:rPr>
        <w:instrText xml:space="preserve"> LINK </w:instrText>
      </w:r>
      <w:r w:rsidR="00433E51" w:rsidRPr="00257B08">
        <w:rPr>
          <w:rFonts w:ascii="Arial" w:hAnsi="Arial" w:cs="Arial"/>
        </w:rPr>
        <w:instrText xml:space="preserve">Excel.Sheet.12 "C:\\Users\\NadeeshaniLiyanage\\Desktop\\Interim\\Final\\Wolfden Interim 31.03.2020 Updated - With Change.xlsx" "20 - Notes!R26C1:R29C3" </w:instrText>
      </w:r>
      <w:r w:rsidRPr="00257B08">
        <w:rPr>
          <w:rFonts w:ascii="Arial" w:hAnsi="Arial" w:cs="Arial"/>
        </w:rPr>
        <w:instrText xml:space="preserve">\a \f 4 \h  \* MERGEFORMAT </w:instrText>
      </w:r>
      <w:r w:rsidRPr="00257B08">
        <w:rPr>
          <w:rFonts w:ascii="Arial" w:hAnsi="Arial" w:cs="Arial"/>
        </w:rPr>
        <w:fldChar w:fldCharType="separate"/>
      </w:r>
    </w:p>
    <w:tbl>
      <w:tblPr>
        <w:tblW w:w="8242" w:type="dxa"/>
        <w:tblInd w:w="799" w:type="dxa"/>
        <w:tblLook w:val="04A0" w:firstRow="1" w:lastRow="0" w:firstColumn="1" w:lastColumn="0" w:noHBand="0" w:noVBand="1"/>
      </w:tblPr>
      <w:tblGrid>
        <w:gridCol w:w="4832"/>
        <w:gridCol w:w="1701"/>
        <w:gridCol w:w="1709"/>
      </w:tblGrid>
      <w:tr w:rsidR="0039155E" w:rsidRPr="00257B08" w14:paraId="3EFA4AB6" w14:textId="77777777" w:rsidTr="00607E1A">
        <w:trPr>
          <w:trHeight w:val="222"/>
        </w:trPr>
        <w:tc>
          <w:tcPr>
            <w:tcW w:w="4832" w:type="dxa"/>
            <w:tcBorders>
              <w:top w:val="nil"/>
              <w:left w:val="nil"/>
              <w:bottom w:val="single" w:sz="4" w:space="0" w:color="auto"/>
              <w:right w:val="nil"/>
            </w:tcBorders>
            <w:shd w:val="clear" w:color="auto" w:fill="auto"/>
            <w:noWrap/>
            <w:hideMark/>
          </w:tcPr>
          <w:p w14:paraId="319097D1" w14:textId="77777777" w:rsidR="00AB42F3" w:rsidRPr="00607E1A" w:rsidRDefault="00AB42F3" w:rsidP="00AB42F3">
            <w:pPr>
              <w:pStyle w:val="BodyText"/>
              <w:ind w:right="777"/>
              <w:rPr>
                <w:rFonts w:ascii="Arial" w:hAnsi="Arial" w:cs="Arial"/>
                <w:b/>
              </w:rPr>
            </w:pPr>
            <w:r w:rsidRPr="00607E1A">
              <w:rPr>
                <w:rFonts w:ascii="Arial" w:hAnsi="Arial" w:cs="Arial"/>
                <w:b/>
              </w:rPr>
              <w:t>For the year ended December 31</w:t>
            </w:r>
          </w:p>
          <w:p w14:paraId="40AB7E29" w14:textId="4CA358C0" w:rsidR="0039155E" w:rsidRPr="00257B08" w:rsidRDefault="0039155E" w:rsidP="00AB42F3">
            <w:pPr>
              <w:jc w:val="both"/>
              <w:rPr>
                <w:rFonts w:ascii="Arial" w:hAnsi="Arial" w:cs="Arial"/>
                <w:b/>
                <w:bCs/>
                <w:color w:val="000000"/>
                <w:sz w:val="16"/>
                <w:szCs w:val="16"/>
                <w:lang w:eastAsia="en-CA"/>
              </w:rPr>
            </w:pPr>
          </w:p>
        </w:tc>
        <w:tc>
          <w:tcPr>
            <w:tcW w:w="1701" w:type="dxa"/>
            <w:tcBorders>
              <w:top w:val="nil"/>
              <w:left w:val="nil"/>
              <w:bottom w:val="single" w:sz="4" w:space="0" w:color="auto"/>
              <w:right w:val="nil"/>
            </w:tcBorders>
            <w:shd w:val="clear" w:color="auto" w:fill="auto"/>
            <w:noWrap/>
            <w:hideMark/>
          </w:tcPr>
          <w:p w14:paraId="6A6FCE77" w14:textId="77777777" w:rsidR="0039155E" w:rsidRDefault="0039155E" w:rsidP="0039155E">
            <w:pPr>
              <w:jc w:val="right"/>
              <w:rPr>
                <w:rFonts w:ascii="Arial" w:hAnsi="Arial" w:cs="Arial"/>
                <w:b/>
                <w:bCs/>
                <w:color w:val="000000"/>
                <w:sz w:val="16"/>
                <w:szCs w:val="16"/>
                <w:lang w:eastAsia="en-CA"/>
              </w:rPr>
            </w:pPr>
            <w:r w:rsidRPr="00257B08">
              <w:rPr>
                <w:rFonts w:ascii="Arial" w:hAnsi="Arial" w:cs="Arial"/>
                <w:b/>
                <w:bCs/>
                <w:color w:val="000000"/>
                <w:sz w:val="16"/>
                <w:szCs w:val="16"/>
                <w:lang w:eastAsia="en-CA"/>
              </w:rPr>
              <w:t>202</w:t>
            </w:r>
            <w:r w:rsidR="00607E1A" w:rsidRPr="00257B08">
              <w:rPr>
                <w:rFonts w:ascii="Arial" w:hAnsi="Arial" w:cs="Arial"/>
                <w:b/>
                <w:bCs/>
                <w:color w:val="000000"/>
                <w:sz w:val="16"/>
                <w:szCs w:val="16"/>
                <w:lang w:eastAsia="en-CA"/>
              </w:rPr>
              <w:t>3</w:t>
            </w:r>
          </w:p>
          <w:p w14:paraId="0E13B6E0" w14:textId="157B322E" w:rsidR="00AB42F3" w:rsidRPr="00257B08" w:rsidRDefault="00AB42F3" w:rsidP="00AB42F3">
            <w:pPr>
              <w:jc w:val="right"/>
              <w:rPr>
                <w:rFonts w:ascii="Arial" w:hAnsi="Arial" w:cs="Arial"/>
                <w:b/>
                <w:bCs/>
                <w:color w:val="000000"/>
                <w:sz w:val="16"/>
                <w:szCs w:val="16"/>
                <w:lang w:eastAsia="en-CA"/>
              </w:rPr>
            </w:pPr>
            <w:r>
              <w:rPr>
                <w:rFonts w:ascii="Arial" w:hAnsi="Arial" w:cs="Arial"/>
                <w:b/>
                <w:bCs/>
                <w:color w:val="000000"/>
                <w:sz w:val="16"/>
                <w:szCs w:val="16"/>
                <w:lang w:eastAsia="en-CA"/>
              </w:rPr>
              <w:t>$</w:t>
            </w:r>
          </w:p>
        </w:tc>
        <w:tc>
          <w:tcPr>
            <w:tcW w:w="1709" w:type="dxa"/>
            <w:tcBorders>
              <w:top w:val="nil"/>
              <w:left w:val="nil"/>
              <w:bottom w:val="single" w:sz="4" w:space="0" w:color="auto"/>
              <w:right w:val="nil"/>
            </w:tcBorders>
          </w:tcPr>
          <w:p w14:paraId="33C6F5F3" w14:textId="77777777" w:rsidR="0039155E" w:rsidRPr="00AB42F3" w:rsidRDefault="0039155E" w:rsidP="0039155E">
            <w:pPr>
              <w:jc w:val="right"/>
              <w:rPr>
                <w:rFonts w:ascii="Arial" w:hAnsi="Arial" w:cs="Arial"/>
                <w:color w:val="000000"/>
                <w:sz w:val="16"/>
                <w:szCs w:val="16"/>
                <w:lang w:eastAsia="en-CA"/>
              </w:rPr>
            </w:pPr>
            <w:r w:rsidRPr="00AB42F3">
              <w:rPr>
                <w:rFonts w:ascii="Arial" w:hAnsi="Arial" w:cs="Arial"/>
                <w:color w:val="000000"/>
                <w:sz w:val="16"/>
                <w:szCs w:val="16"/>
                <w:lang w:eastAsia="en-CA"/>
              </w:rPr>
              <w:t>202</w:t>
            </w:r>
            <w:r w:rsidR="00607E1A" w:rsidRPr="00AB42F3">
              <w:rPr>
                <w:rFonts w:ascii="Arial" w:hAnsi="Arial" w:cs="Arial"/>
                <w:color w:val="000000"/>
                <w:sz w:val="16"/>
                <w:szCs w:val="16"/>
                <w:lang w:eastAsia="en-CA"/>
              </w:rPr>
              <w:t>2</w:t>
            </w:r>
          </w:p>
          <w:p w14:paraId="6FDD5BD6" w14:textId="72D6409E" w:rsidR="00AB42F3" w:rsidRPr="00AB42F3" w:rsidRDefault="00AB42F3" w:rsidP="0039155E">
            <w:pPr>
              <w:jc w:val="right"/>
              <w:rPr>
                <w:rFonts w:ascii="Arial" w:hAnsi="Arial" w:cs="Arial"/>
                <w:color w:val="000000"/>
                <w:sz w:val="16"/>
                <w:szCs w:val="16"/>
                <w:lang w:eastAsia="en-CA"/>
              </w:rPr>
            </w:pPr>
            <w:r w:rsidRPr="00AB42F3">
              <w:rPr>
                <w:rFonts w:ascii="Arial" w:hAnsi="Arial" w:cs="Arial"/>
                <w:color w:val="000000"/>
                <w:sz w:val="16"/>
                <w:szCs w:val="16"/>
                <w:lang w:eastAsia="en-CA"/>
              </w:rPr>
              <w:t>$</w:t>
            </w:r>
          </w:p>
        </w:tc>
      </w:tr>
      <w:tr w:rsidR="00607E1A" w:rsidRPr="00257B08" w14:paraId="2F472208" w14:textId="77777777" w:rsidTr="00607E1A">
        <w:trPr>
          <w:trHeight w:val="444"/>
        </w:trPr>
        <w:tc>
          <w:tcPr>
            <w:tcW w:w="4832" w:type="dxa"/>
            <w:tcBorders>
              <w:top w:val="nil"/>
              <w:left w:val="nil"/>
              <w:bottom w:val="nil"/>
              <w:right w:val="nil"/>
            </w:tcBorders>
            <w:shd w:val="clear" w:color="auto" w:fill="auto"/>
            <w:vAlign w:val="center"/>
            <w:hideMark/>
          </w:tcPr>
          <w:p w14:paraId="2310FDC3" w14:textId="50331F72" w:rsidR="00607E1A" w:rsidRPr="00257B08" w:rsidRDefault="00607E1A" w:rsidP="00607E1A">
            <w:pPr>
              <w:rPr>
                <w:rFonts w:ascii="Arial" w:hAnsi="Arial" w:cs="Arial"/>
                <w:sz w:val="16"/>
                <w:szCs w:val="16"/>
                <w:lang w:eastAsia="en-CA"/>
              </w:rPr>
            </w:pPr>
            <w:r w:rsidRPr="00257B08">
              <w:rPr>
                <w:rFonts w:ascii="Arial" w:hAnsi="Arial" w:cs="Arial"/>
                <w:sz w:val="16"/>
                <w:szCs w:val="16"/>
                <w:lang w:eastAsia="en-CA"/>
              </w:rPr>
              <w:t>Numerator:</w:t>
            </w:r>
            <w:r w:rsidRPr="00257B08">
              <w:rPr>
                <w:rFonts w:ascii="Arial" w:hAnsi="Arial" w:cs="Arial"/>
                <w:sz w:val="16"/>
                <w:szCs w:val="16"/>
                <w:lang w:eastAsia="en-CA"/>
              </w:rPr>
              <w:br/>
              <w:t>Loss for the year</w:t>
            </w:r>
          </w:p>
        </w:tc>
        <w:tc>
          <w:tcPr>
            <w:tcW w:w="1701" w:type="dxa"/>
            <w:tcBorders>
              <w:top w:val="nil"/>
              <w:left w:val="nil"/>
              <w:bottom w:val="nil"/>
              <w:right w:val="nil"/>
            </w:tcBorders>
            <w:shd w:val="clear" w:color="auto" w:fill="auto"/>
            <w:noWrap/>
            <w:vAlign w:val="center"/>
            <w:hideMark/>
          </w:tcPr>
          <w:p w14:paraId="5DE3ECEB" w14:textId="0F860536" w:rsidR="00607E1A" w:rsidRPr="00257B08" w:rsidRDefault="00607E1A" w:rsidP="00607E1A">
            <w:pPr>
              <w:jc w:val="right"/>
              <w:rPr>
                <w:rFonts w:ascii="Arial" w:hAnsi="Arial" w:cs="Arial"/>
                <w:b/>
                <w:bCs/>
                <w:color w:val="000000"/>
                <w:sz w:val="16"/>
                <w:szCs w:val="16"/>
                <w:lang w:eastAsia="en-CA"/>
              </w:rPr>
            </w:pPr>
            <w:r w:rsidRPr="00257B08">
              <w:rPr>
                <w:rFonts w:ascii="Arial" w:hAnsi="Arial" w:cs="Arial"/>
                <w:b/>
                <w:bCs/>
                <w:color w:val="000000"/>
                <w:sz w:val="16"/>
                <w:szCs w:val="16"/>
                <w:lang w:eastAsia="en-CA"/>
              </w:rPr>
              <w:t>(2,</w:t>
            </w:r>
            <w:r w:rsidR="009B489B">
              <w:rPr>
                <w:rFonts w:ascii="Arial" w:hAnsi="Arial" w:cs="Arial"/>
                <w:b/>
                <w:bCs/>
                <w:color w:val="000000"/>
                <w:sz w:val="16"/>
                <w:szCs w:val="16"/>
                <w:lang w:eastAsia="en-CA"/>
              </w:rPr>
              <w:t>80</w:t>
            </w:r>
            <w:r w:rsidR="00C50E56">
              <w:rPr>
                <w:rFonts w:ascii="Arial" w:hAnsi="Arial" w:cs="Arial"/>
                <w:b/>
                <w:bCs/>
                <w:color w:val="000000"/>
                <w:sz w:val="16"/>
                <w:szCs w:val="16"/>
                <w:lang w:eastAsia="en-CA"/>
              </w:rPr>
              <w:t>6,20</w:t>
            </w:r>
            <w:r w:rsidR="001745AE">
              <w:rPr>
                <w:rFonts w:ascii="Arial" w:hAnsi="Arial" w:cs="Arial"/>
                <w:b/>
                <w:bCs/>
                <w:color w:val="000000"/>
                <w:sz w:val="16"/>
                <w:szCs w:val="16"/>
                <w:lang w:eastAsia="en-CA"/>
              </w:rPr>
              <w:t>4</w:t>
            </w:r>
            <w:r w:rsidRPr="00257B08">
              <w:rPr>
                <w:rFonts w:ascii="Arial" w:hAnsi="Arial" w:cs="Arial"/>
                <w:b/>
                <w:bCs/>
                <w:color w:val="000000"/>
                <w:sz w:val="16"/>
                <w:szCs w:val="16"/>
                <w:lang w:eastAsia="en-CA"/>
              </w:rPr>
              <w:t>)</w:t>
            </w:r>
          </w:p>
        </w:tc>
        <w:tc>
          <w:tcPr>
            <w:tcW w:w="1709" w:type="dxa"/>
            <w:tcBorders>
              <w:top w:val="nil"/>
              <w:left w:val="nil"/>
              <w:bottom w:val="nil"/>
              <w:right w:val="nil"/>
            </w:tcBorders>
            <w:vAlign w:val="center"/>
          </w:tcPr>
          <w:p w14:paraId="51A44F24" w14:textId="127FEE7D" w:rsidR="00607E1A" w:rsidRPr="00AB42F3" w:rsidRDefault="00607E1A" w:rsidP="00607E1A">
            <w:pPr>
              <w:jc w:val="right"/>
              <w:rPr>
                <w:rFonts w:ascii="Arial" w:hAnsi="Arial" w:cs="Arial"/>
                <w:color w:val="000000"/>
                <w:sz w:val="16"/>
                <w:szCs w:val="16"/>
                <w:lang w:eastAsia="en-CA"/>
              </w:rPr>
            </w:pPr>
            <w:r w:rsidRPr="00AB42F3">
              <w:rPr>
                <w:rFonts w:ascii="Arial" w:hAnsi="Arial" w:cs="Arial"/>
                <w:color w:val="000000"/>
                <w:sz w:val="16"/>
                <w:szCs w:val="16"/>
                <w:lang w:eastAsia="en-CA"/>
              </w:rPr>
              <w:t>(2,6</w:t>
            </w:r>
            <w:r w:rsidR="00257B08" w:rsidRPr="00AB42F3">
              <w:rPr>
                <w:rFonts w:ascii="Arial" w:hAnsi="Arial" w:cs="Arial"/>
                <w:color w:val="000000"/>
                <w:sz w:val="16"/>
                <w:szCs w:val="16"/>
                <w:lang w:eastAsia="en-CA"/>
              </w:rPr>
              <w:t>8</w:t>
            </w:r>
            <w:r w:rsidRPr="00AB42F3">
              <w:rPr>
                <w:rFonts w:ascii="Arial" w:hAnsi="Arial" w:cs="Arial"/>
                <w:color w:val="000000"/>
                <w:sz w:val="16"/>
                <w:szCs w:val="16"/>
                <w:lang w:eastAsia="en-CA"/>
              </w:rPr>
              <w:t>7,34</w:t>
            </w:r>
            <w:r w:rsidR="00257B08" w:rsidRPr="00AB42F3">
              <w:rPr>
                <w:rFonts w:ascii="Arial" w:hAnsi="Arial" w:cs="Arial"/>
                <w:color w:val="000000"/>
                <w:sz w:val="16"/>
                <w:szCs w:val="16"/>
                <w:lang w:eastAsia="en-CA"/>
              </w:rPr>
              <w:t>0</w:t>
            </w:r>
            <w:r w:rsidRPr="00AB42F3">
              <w:rPr>
                <w:rFonts w:ascii="Arial" w:hAnsi="Arial" w:cs="Arial"/>
                <w:color w:val="000000"/>
                <w:sz w:val="16"/>
                <w:szCs w:val="16"/>
                <w:lang w:eastAsia="en-CA"/>
              </w:rPr>
              <w:t>)</w:t>
            </w:r>
          </w:p>
        </w:tc>
      </w:tr>
      <w:tr w:rsidR="00607E1A" w:rsidRPr="00257B08" w14:paraId="46021DCF" w14:textId="77777777" w:rsidTr="00607E1A">
        <w:trPr>
          <w:trHeight w:val="444"/>
        </w:trPr>
        <w:tc>
          <w:tcPr>
            <w:tcW w:w="4832" w:type="dxa"/>
            <w:tcBorders>
              <w:top w:val="nil"/>
              <w:left w:val="nil"/>
              <w:bottom w:val="single" w:sz="4" w:space="0" w:color="000000"/>
              <w:right w:val="nil"/>
            </w:tcBorders>
            <w:shd w:val="clear" w:color="auto" w:fill="auto"/>
            <w:vAlign w:val="center"/>
            <w:hideMark/>
          </w:tcPr>
          <w:p w14:paraId="56F15E0D" w14:textId="77777777" w:rsidR="00607E1A" w:rsidRPr="00257B08" w:rsidRDefault="00607E1A" w:rsidP="00607E1A">
            <w:pPr>
              <w:rPr>
                <w:rFonts w:ascii="Arial" w:hAnsi="Arial" w:cs="Arial"/>
                <w:color w:val="000000"/>
                <w:sz w:val="16"/>
                <w:szCs w:val="16"/>
                <w:lang w:eastAsia="en-CA"/>
              </w:rPr>
            </w:pPr>
            <w:r w:rsidRPr="00257B08">
              <w:rPr>
                <w:rFonts w:ascii="Arial" w:hAnsi="Arial" w:cs="Arial"/>
                <w:sz w:val="16"/>
                <w:szCs w:val="16"/>
                <w:lang w:eastAsia="en-CA"/>
              </w:rPr>
              <w:t>Denominator:</w:t>
            </w:r>
            <w:r w:rsidRPr="00257B08">
              <w:rPr>
                <w:rFonts w:ascii="Arial" w:hAnsi="Arial" w:cs="Arial"/>
                <w:sz w:val="16"/>
                <w:szCs w:val="16"/>
                <w:lang w:eastAsia="en-CA"/>
              </w:rPr>
              <w:br/>
              <w:t>Weighted average number of common shares</w:t>
            </w:r>
          </w:p>
        </w:tc>
        <w:tc>
          <w:tcPr>
            <w:tcW w:w="1701" w:type="dxa"/>
            <w:tcBorders>
              <w:top w:val="nil"/>
              <w:left w:val="nil"/>
              <w:bottom w:val="single" w:sz="4" w:space="0" w:color="000000"/>
              <w:right w:val="nil"/>
            </w:tcBorders>
            <w:shd w:val="clear" w:color="auto" w:fill="auto"/>
            <w:vAlign w:val="center"/>
            <w:hideMark/>
          </w:tcPr>
          <w:p w14:paraId="04B20E10" w14:textId="1A641CB2" w:rsidR="00607E1A" w:rsidRPr="00257B08" w:rsidRDefault="00607E1A" w:rsidP="00607E1A">
            <w:pPr>
              <w:jc w:val="right"/>
              <w:rPr>
                <w:rFonts w:ascii="Arial" w:hAnsi="Arial" w:cs="Arial"/>
                <w:b/>
                <w:bCs/>
                <w:color w:val="000000"/>
                <w:sz w:val="16"/>
                <w:szCs w:val="16"/>
                <w:lang w:eastAsia="en-CA"/>
              </w:rPr>
            </w:pPr>
            <w:r w:rsidRPr="00257B08">
              <w:rPr>
                <w:rFonts w:ascii="Arial" w:hAnsi="Arial" w:cs="Arial"/>
                <w:b/>
                <w:bCs/>
                <w:color w:val="000000"/>
                <w:sz w:val="16"/>
                <w:szCs w:val="16"/>
                <w:lang w:eastAsia="en-CA"/>
              </w:rPr>
              <w:t>164,817,648</w:t>
            </w:r>
          </w:p>
        </w:tc>
        <w:tc>
          <w:tcPr>
            <w:tcW w:w="1709" w:type="dxa"/>
            <w:tcBorders>
              <w:top w:val="nil"/>
              <w:left w:val="nil"/>
              <w:bottom w:val="single" w:sz="4" w:space="0" w:color="000000"/>
              <w:right w:val="nil"/>
            </w:tcBorders>
            <w:vAlign w:val="center"/>
          </w:tcPr>
          <w:p w14:paraId="7E9EBE72" w14:textId="18450768" w:rsidR="00607E1A" w:rsidRPr="00AB42F3" w:rsidRDefault="00607E1A" w:rsidP="00607E1A">
            <w:pPr>
              <w:jc w:val="right"/>
              <w:rPr>
                <w:rFonts w:ascii="Arial" w:hAnsi="Arial" w:cs="Arial"/>
                <w:color w:val="000000"/>
                <w:sz w:val="16"/>
                <w:szCs w:val="16"/>
                <w:lang w:eastAsia="en-CA"/>
              </w:rPr>
            </w:pPr>
            <w:r w:rsidRPr="00AB42F3">
              <w:rPr>
                <w:rFonts w:ascii="Arial" w:hAnsi="Arial" w:cs="Arial"/>
                <w:color w:val="000000"/>
                <w:sz w:val="16"/>
                <w:szCs w:val="16"/>
                <w:lang w:eastAsia="en-CA"/>
              </w:rPr>
              <w:t>164,817,648</w:t>
            </w:r>
          </w:p>
        </w:tc>
      </w:tr>
      <w:tr w:rsidR="0039155E" w:rsidRPr="00257B08" w14:paraId="6DD830FE" w14:textId="77777777" w:rsidTr="00607E1A">
        <w:trPr>
          <w:trHeight w:val="236"/>
        </w:trPr>
        <w:tc>
          <w:tcPr>
            <w:tcW w:w="4832" w:type="dxa"/>
            <w:tcBorders>
              <w:top w:val="single" w:sz="4" w:space="0" w:color="000000"/>
              <w:right w:val="nil"/>
            </w:tcBorders>
            <w:shd w:val="clear" w:color="auto" w:fill="auto"/>
            <w:vAlign w:val="center"/>
            <w:hideMark/>
          </w:tcPr>
          <w:p w14:paraId="5A3E72D4" w14:textId="3F6C2EB2" w:rsidR="0039155E" w:rsidRPr="00257B08" w:rsidRDefault="0039155E" w:rsidP="0039155E">
            <w:pPr>
              <w:rPr>
                <w:rFonts w:ascii="Arial" w:hAnsi="Arial" w:cs="Arial"/>
                <w:sz w:val="16"/>
                <w:szCs w:val="16"/>
                <w:lang w:eastAsia="en-CA"/>
              </w:rPr>
            </w:pPr>
            <w:r w:rsidRPr="00257B08">
              <w:rPr>
                <w:rFonts w:ascii="Arial" w:hAnsi="Arial" w:cs="Arial"/>
                <w:sz w:val="16"/>
                <w:szCs w:val="16"/>
                <w:lang w:eastAsia="en-CA"/>
              </w:rPr>
              <w:t>Basic and diluted loss per share</w:t>
            </w:r>
          </w:p>
        </w:tc>
        <w:tc>
          <w:tcPr>
            <w:tcW w:w="1701" w:type="dxa"/>
            <w:tcBorders>
              <w:top w:val="single" w:sz="4" w:space="0" w:color="000000"/>
              <w:left w:val="nil"/>
              <w:right w:val="nil"/>
            </w:tcBorders>
            <w:shd w:val="clear" w:color="auto" w:fill="auto"/>
            <w:vAlign w:val="center"/>
            <w:hideMark/>
          </w:tcPr>
          <w:p w14:paraId="28C806AF" w14:textId="6D391C9C" w:rsidR="0039155E" w:rsidRPr="00257B08" w:rsidRDefault="0039155E" w:rsidP="0039155E">
            <w:pPr>
              <w:jc w:val="right"/>
              <w:rPr>
                <w:rFonts w:ascii="Arial" w:hAnsi="Arial" w:cs="Arial"/>
                <w:b/>
                <w:bCs/>
                <w:sz w:val="16"/>
                <w:szCs w:val="16"/>
                <w:lang w:eastAsia="en-CA"/>
              </w:rPr>
            </w:pPr>
            <w:r w:rsidRPr="00257B08">
              <w:rPr>
                <w:rFonts w:ascii="Arial" w:hAnsi="Arial" w:cs="Arial"/>
                <w:b/>
                <w:bCs/>
                <w:sz w:val="16"/>
                <w:szCs w:val="16"/>
                <w:lang w:eastAsia="en-CA"/>
              </w:rPr>
              <w:t>(0.0</w:t>
            </w:r>
            <w:r w:rsidR="00F41EC9" w:rsidRPr="00257B08">
              <w:rPr>
                <w:rFonts w:ascii="Arial" w:hAnsi="Arial" w:cs="Arial"/>
                <w:b/>
                <w:bCs/>
                <w:sz w:val="16"/>
                <w:szCs w:val="16"/>
                <w:lang w:eastAsia="en-CA"/>
              </w:rPr>
              <w:t>2</w:t>
            </w:r>
            <w:r w:rsidRPr="00257B08">
              <w:rPr>
                <w:rFonts w:ascii="Arial" w:hAnsi="Arial" w:cs="Arial"/>
                <w:b/>
                <w:bCs/>
                <w:sz w:val="16"/>
                <w:szCs w:val="16"/>
                <w:lang w:eastAsia="en-CA"/>
              </w:rPr>
              <w:t>)</w:t>
            </w:r>
          </w:p>
        </w:tc>
        <w:tc>
          <w:tcPr>
            <w:tcW w:w="1709" w:type="dxa"/>
            <w:tcBorders>
              <w:top w:val="single" w:sz="4" w:space="0" w:color="000000"/>
              <w:left w:val="nil"/>
              <w:right w:val="nil"/>
            </w:tcBorders>
            <w:vAlign w:val="center"/>
          </w:tcPr>
          <w:p w14:paraId="4AEE3003" w14:textId="68A9EA71" w:rsidR="0039155E" w:rsidRPr="00AB42F3" w:rsidRDefault="0039155E" w:rsidP="0039155E">
            <w:pPr>
              <w:jc w:val="right"/>
              <w:rPr>
                <w:rFonts w:ascii="Arial" w:hAnsi="Arial" w:cs="Arial"/>
                <w:sz w:val="16"/>
                <w:szCs w:val="16"/>
                <w:lang w:eastAsia="en-CA"/>
              </w:rPr>
            </w:pPr>
            <w:r w:rsidRPr="00AB42F3">
              <w:rPr>
                <w:rFonts w:ascii="Arial" w:hAnsi="Arial" w:cs="Arial"/>
                <w:sz w:val="16"/>
                <w:szCs w:val="16"/>
                <w:lang w:eastAsia="en-CA"/>
              </w:rPr>
              <w:t>(0.0</w:t>
            </w:r>
            <w:r w:rsidR="00607E1A" w:rsidRPr="00AB42F3">
              <w:rPr>
                <w:rFonts w:ascii="Arial" w:hAnsi="Arial" w:cs="Arial"/>
                <w:sz w:val="16"/>
                <w:szCs w:val="16"/>
                <w:lang w:eastAsia="en-CA"/>
              </w:rPr>
              <w:t>2</w:t>
            </w:r>
            <w:r w:rsidRPr="00AB42F3">
              <w:rPr>
                <w:rFonts w:ascii="Arial" w:hAnsi="Arial" w:cs="Arial"/>
                <w:sz w:val="16"/>
                <w:szCs w:val="16"/>
                <w:lang w:eastAsia="en-CA"/>
              </w:rPr>
              <w:t>)</w:t>
            </w:r>
          </w:p>
        </w:tc>
      </w:tr>
    </w:tbl>
    <w:p w14:paraId="5E375C4F" w14:textId="14AEA7F8" w:rsidR="00257B08" w:rsidRDefault="003F39FF" w:rsidP="009B7B96">
      <w:pPr>
        <w:autoSpaceDE w:val="0"/>
        <w:autoSpaceDN w:val="0"/>
        <w:adjustRightInd w:val="0"/>
        <w:ind w:left="851"/>
        <w:jc w:val="both"/>
        <w:rPr>
          <w:rFonts w:ascii="Arial" w:hAnsi="Arial" w:cs="Arial"/>
        </w:rPr>
      </w:pPr>
      <w:r w:rsidRPr="00257B08">
        <w:rPr>
          <w:rFonts w:ascii="Arial" w:hAnsi="Arial" w:cs="Arial"/>
        </w:rPr>
        <w:fldChar w:fldCharType="end"/>
      </w:r>
    </w:p>
    <w:p w14:paraId="376CC10B" w14:textId="277CDF98" w:rsidR="00A5315A" w:rsidRPr="00A10E12" w:rsidRDefault="00A5315A" w:rsidP="005C0E14">
      <w:pPr>
        <w:ind w:left="851"/>
        <w:rPr>
          <w:rFonts w:ascii="Arial" w:hAnsi="Arial" w:cs="Arial"/>
          <w:b/>
          <w:bCs/>
          <w:sz w:val="16"/>
          <w:szCs w:val="16"/>
        </w:rPr>
      </w:pPr>
      <w:r w:rsidRPr="00A10E12">
        <w:rPr>
          <w:rFonts w:ascii="Arial" w:hAnsi="Arial" w:cs="Arial"/>
          <w:b/>
          <w:bCs/>
          <w:sz w:val="16"/>
          <w:szCs w:val="16"/>
        </w:rPr>
        <w:t>1</w:t>
      </w:r>
      <w:r w:rsidR="00A15174" w:rsidRPr="00A10E12">
        <w:rPr>
          <w:rFonts w:ascii="Arial" w:hAnsi="Arial" w:cs="Arial"/>
          <w:b/>
          <w:bCs/>
          <w:sz w:val="16"/>
          <w:szCs w:val="16"/>
        </w:rPr>
        <w:t>0</w:t>
      </w:r>
      <w:r w:rsidRPr="00A10E12">
        <w:rPr>
          <w:rFonts w:ascii="Arial" w:hAnsi="Arial" w:cs="Arial"/>
          <w:b/>
          <w:bCs/>
          <w:sz w:val="16"/>
          <w:szCs w:val="16"/>
        </w:rPr>
        <w:t>. RELATED PARTY TRANSACTIONS</w:t>
      </w:r>
    </w:p>
    <w:p w14:paraId="5DBE3F1D" w14:textId="77777777" w:rsidR="00E9009E" w:rsidRPr="00F56223" w:rsidRDefault="00E9009E" w:rsidP="005C0E14">
      <w:pPr>
        <w:pStyle w:val="BodyText"/>
        <w:ind w:left="851" w:right="777"/>
        <w:jc w:val="both"/>
        <w:rPr>
          <w:rFonts w:ascii="Arial" w:hAnsi="Arial" w:cs="Arial"/>
        </w:rPr>
      </w:pPr>
    </w:p>
    <w:p w14:paraId="61B04BFE" w14:textId="4019687B" w:rsidR="00A5315A" w:rsidRPr="00A10E12" w:rsidRDefault="00A5315A" w:rsidP="005C0E14">
      <w:pPr>
        <w:pStyle w:val="BodyText"/>
        <w:ind w:left="851" w:right="777"/>
        <w:jc w:val="both"/>
        <w:rPr>
          <w:rFonts w:ascii="Arial" w:hAnsi="Arial" w:cs="Arial"/>
        </w:rPr>
      </w:pPr>
      <w:r w:rsidRPr="00A10E12">
        <w:rPr>
          <w:rFonts w:ascii="Arial" w:hAnsi="Arial" w:cs="Arial"/>
        </w:rPr>
        <w:t>The Corporation's related parties include key management personnel and entities over which they have control or significant influence as described below.</w:t>
      </w:r>
      <w:r w:rsidR="009F2240" w:rsidRPr="00A10E12">
        <w:rPr>
          <w:rFonts w:ascii="Arial" w:hAnsi="Arial" w:cs="Arial"/>
        </w:rPr>
        <w:t xml:space="preserve"> There were no related party transactions in 202</w:t>
      </w:r>
      <w:r w:rsidR="00257B08" w:rsidRPr="00A10E12">
        <w:rPr>
          <w:rFonts w:ascii="Arial" w:hAnsi="Arial" w:cs="Arial"/>
        </w:rPr>
        <w:t>3</w:t>
      </w:r>
      <w:r w:rsidR="003B2CC3">
        <w:rPr>
          <w:rFonts w:ascii="Arial" w:hAnsi="Arial" w:cs="Arial"/>
        </w:rPr>
        <w:t xml:space="preserve"> and 2022</w:t>
      </w:r>
      <w:r w:rsidR="009F2240" w:rsidRPr="00A10E12">
        <w:rPr>
          <w:rFonts w:ascii="Arial" w:hAnsi="Arial" w:cs="Arial"/>
        </w:rPr>
        <w:t>.</w:t>
      </w:r>
    </w:p>
    <w:p w14:paraId="66882110" w14:textId="77777777" w:rsidR="00E9009E" w:rsidRPr="00F56223" w:rsidRDefault="00E9009E" w:rsidP="005C0E14">
      <w:pPr>
        <w:pStyle w:val="BodyText"/>
        <w:ind w:left="851" w:right="777"/>
        <w:jc w:val="both"/>
        <w:rPr>
          <w:rFonts w:ascii="Arial" w:hAnsi="Arial" w:cs="Arial"/>
        </w:rPr>
      </w:pPr>
    </w:p>
    <w:p w14:paraId="6FFAEC75" w14:textId="084E362D" w:rsidR="009B7B96" w:rsidRPr="00A10E12" w:rsidRDefault="009B7B96" w:rsidP="005C0E14">
      <w:pPr>
        <w:tabs>
          <w:tab w:val="left" w:pos="851"/>
        </w:tabs>
        <w:ind w:left="851"/>
        <w:rPr>
          <w:rFonts w:ascii="Arial" w:hAnsi="Arial" w:cs="Arial"/>
          <w:b/>
          <w:bCs/>
          <w:sz w:val="16"/>
          <w:szCs w:val="16"/>
        </w:rPr>
      </w:pPr>
      <w:r w:rsidRPr="00A10E12">
        <w:rPr>
          <w:rFonts w:ascii="Arial" w:hAnsi="Arial" w:cs="Arial"/>
          <w:b/>
          <w:bCs/>
          <w:sz w:val="16"/>
          <w:szCs w:val="16"/>
        </w:rPr>
        <w:t>Key management personnel remuneration includes the following amounts:</w:t>
      </w:r>
    </w:p>
    <w:p w14:paraId="720DD9FA" w14:textId="5452E8E2" w:rsidR="00A5315A" w:rsidRPr="00A10E12" w:rsidRDefault="00A5315A" w:rsidP="009B6B19">
      <w:pPr>
        <w:tabs>
          <w:tab w:val="left" w:pos="720"/>
        </w:tabs>
        <w:rPr>
          <w:rFonts w:ascii="Arial" w:eastAsiaTheme="minorHAnsi" w:hAnsi="Arial" w:cs="Arial"/>
          <w:sz w:val="16"/>
          <w:szCs w:val="16"/>
        </w:rPr>
      </w:pPr>
      <w:r w:rsidRPr="00A10E12">
        <w:rPr>
          <w:rFonts w:ascii="Arial" w:hAnsi="Arial" w:cs="Arial"/>
          <w:sz w:val="16"/>
          <w:szCs w:val="16"/>
        </w:rPr>
        <w:fldChar w:fldCharType="begin"/>
      </w:r>
      <w:r w:rsidRPr="00A10E12">
        <w:rPr>
          <w:rFonts w:ascii="Arial" w:hAnsi="Arial" w:cs="Arial"/>
          <w:sz w:val="16"/>
          <w:szCs w:val="16"/>
        </w:rPr>
        <w:instrText xml:space="preserve"> LINK </w:instrText>
      </w:r>
      <w:r w:rsidR="00433E51" w:rsidRPr="00A10E12">
        <w:rPr>
          <w:rFonts w:ascii="Arial" w:hAnsi="Arial" w:cs="Arial"/>
          <w:sz w:val="16"/>
          <w:szCs w:val="16"/>
        </w:rPr>
        <w:instrText xml:space="preserve">Excel.Sheet.12 "C:\\Users\\NadeeshaniLiyanage\\Desktop\\Interim\\Final\\Wolfden Interim 31.03.2020 Updated - With Change.xlsx" Sheet1!R3C2:R8C4 </w:instrText>
      </w:r>
      <w:r w:rsidRPr="00A10E12">
        <w:rPr>
          <w:rFonts w:ascii="Arial" w:hAnsi="Arial" w:cs="Arial"/>
          <w:sz w:val="16"/>
          <w:szCs w:val="16"/>
        </w:rPr>
        <w:instrText xml:space="preserve">\a \f 4 \h  \* MERGEFORMAT </w:instrText>
      </w:r>
      <w:r w:rsidRPr="00A10E12">
        <w:rPr>
          <w:rFonts w:ascii="Arial" w:hAnsi="Arial" w:cs="Arial"/>
          <w:sz w:val="16"/>
          <w:szCs w:val="16"/>
        </w:rPr>
        <w:fldChar w:fldCharType="separate"/>
      </w:r>
    </w:p>
    <w:tbl>
      <w:tblPr>
        <w:tblW w:w="8273" w:type="dxa"/>
        <w:tblInd w:w="799" w:type="dxa"/>
        <w:tblLook w:val="04A0" w:firstRow="1" w:lastRow="0" w:firstColumn="1" w:lastColumn="0" w:noHBand="0" w:noVBand="1"/>
      </w:tblPr>
      <w:tblGrid>
        <w:gridCol w:w="4871"/>
        <w:gridCol w:w="1701"/>
        <w:gridCol w:w="1701"/>
      </w:tblGrid>
      <w:tr w:rsidR="0039155E" w:rsidRPr="00A10E12" w14:paraId="3F7FF1C9" w14:textId="77777777" w:rsidTr="005C0E14">
        <w:trPr>
          <w:trHeight w:val="221"/>
        </w:trPr>
        <w:tc>
          <w:tcPr>
            <w:tcW w:w="4871" w:type="dxa"/>
            <w:tcBorders>
              <w:top w:val="nil"/>
              <w:left w:val="nil"/>
              <w:bottom w:val="single" w:sz="12" w:space="0" w:color="000000"/>
              <w:right w:val="nil"/>
            </w:tcBorders>
            <w:shd w:val="clear" w:color="auto" w:fill="auto"/>
            <w:hideMark/>
          </w:tcPr>
          <w:p w14:paraId="23100811" w14:textId="7AAD19B3" w:rsidR="0039155E" w:rsidRPr="00A10E12" w:rsidRDefault="0039155E" w:rsidP="0039155E">
            <w:pPr>
              <w:tabs>
                <w:tab w:val="left" w:pos="720"/>
              </w:tabs>
              <w:rPr>
                <w:rFonts w:ascii="Arial" w:hAnsi="Arial" w:cs="Arial"/>
                <w:b/>
                <w:sz w:val="16"/>
                <w:szCs w:val="16"/>
              </w:rPr>
            </w:pPr>
            <w:r w:rsidRPr="00A10E12">
              <w:rPr>
                <w:rFonts w:ascii="Arial" w:hAnsi="Arial" w:cs="Arial"/>
                <w:color w:val="000000"/>
                <w:sz w:val="16"/>
                <w:szCs w:val="16"/>
                <w:lang w:eastAsia="en-CA"/>
              </w:rPr>
              <w:t> </w:t>
            </w:r>
            <w:r w:rsidRPr="00A10E12">
              <w:rPr>
                <w:rFonts w:ascii="Arial" w:hAnsi="Arial" w:cs="Arial"/>
                <w:b/>
                <w:sz w:val="16"/>
                <w:szCs w:val="16"/>
              </w:rPr>
              <w:t>For the years ended December 31</w:t>
            </w:r>
          </w:p>
          <w:p w14:paraId="18704E59" w14:textId="3912476C" w:rsidR="0039155E" w:rsidRPr="00A10E12" w:rsidRDefault="0039155E" w:rsidP="0039155E">
            <w:pPr>
              <w:rPr>
                <w:rFonts w:ascii="Arial" w:hAnsi="Arial" w:cs="Arial"/>
                <w:color w:val="000000"/>
                <w:sz w:val="16"/>
                <w:szCs w:val="16"/>
                <w:lang w:eastAsia="en-CA"/>
              </w:rPr>
            </w:pPr>
          </w:p>
        </w:tc>
        <w:tc>
          <w:tcPr>
            <w:tcW w:w="1701" w:type="dxa"/>
            <w:tcBorders>
              <w:top w:val="nil"/>
              <w:left w:val="nil"/>
              <w:bottom w:val="single" w:sz="12" w:space="0" w:color="000000"/>
              <w:right w:val="nil"/>
            </w:tcBorders>
            <w:shd w:val="clear" w:color="auto" w:fill="auto"/>
            <w:hideMark/>
          </w:tcPr>
          <w:p w14:paraId="277A6FFE" w14:textId="18852DC1" w:rsidR="0039155E" w:rsidRPr="00A10E12" w:rsidRDefault="0039155E" w:rsidP="0039155E">
            <w:pPr>
              <w:jc w:val="right"/>
              <w:rPr>
                <w:rFonts w:ascii="Arial" w:hAnsi="Arial" w:cs="Arial"/>
                <w:b/>
                <w:bCs/>
                <w:sz w:val="16"/>
                <w:szCs w:val="16"/>
                <w:highlight w:val="yellow"/>
                <w:lang w:eastAsia="en-CA"/>
              </w:rPr>
            </w:pPr>
            <w:r w:rsidRPr="00A10E12">
              <w:rPr>
                <w:rFonts w:ascii="Arial" w:hAnsi="Arial" w:cs="Arial"/>
                <w:b/>
                <w:bCs/>
                <w:sz w:val="16"/>
                <w:szCs w:val="16"/>
                <w:lang w:eastAsia="en-CA"/>
              </w:rPr>
              <w:t>202</w:t>
            </w:r>
            <w:r w:rsidR="00607E1A" w:rsidRPr="00A10E12">
              <w:rPr>
                <w:rFonts w:ascii="Arial" w:hAnsi="Arial" w:cs="Arial"/>
                <w:b/>
                <w:bCs/>
                <w:sz w:val="16"/>
                <w:szCs w:val="16"/>
                <w:lang w:eastAsia="en-CA"/>
              </w:rPr>
              <w:t>3</w:t>
            </w:r>
            <w:r w:rsidRPr="00A10E12">
              <w:rPr>
                <w:rFonts w:ascii="Arial" w:hAnsi="Arial" w:cs="Arial"/>
                <w:b/>
                <w:bCs/>
                <w:sz w:val="16"/>
                <w:szCs w:val="16"/>
                <w:highlight w:val="yellow"/>
                <w:lang w:eastAsia="en-CA"/>
              </w:rPr>
              <w:br/>
            </w:r>
            <w:r w:rsidRPr="00A10E12">
              <w:rPr>
                <w:rFonts w:ascii="Arial" w:hAnsi="Arial" w:cs="Arial"/>
                <w:b/>
                <w:bCs/>
                <w:sz w:val="16"/>
                <w:szCs w:val="16"/>
                <w:lang w:eastAsia="en-CA"/>
              </w:rPr>
              <w:t>$</w:t>
            </w:r>
          </w:p>
        </w:tc>
        <w:tc>
          <w:tcPr>
            <w:tcW w:w="1701" w:type="dxa"/>
            <w:tcBorders>
              <w:top w:val="nil"/>
              <w:left w:val="nil"/>
              <w:bottom w:val="single" w:sz="12" w:space="0" w:color="000000"/>
              <w:right w:val="nil"/>
            </w:tcBorders>
          </w:tcPr>
          <w:p w14:paraId="2CBF813E" w14:textId="54093A8E" w:rsidR="0039155E" w:rsidRPr="00AB42F3" w:rsidRDefault="0039155E" w:rsidP="0039155E">
            <w:pPr>
              <w:jc w:val="right"/>
              <w:rPr>
                <w:rFonts w:ascii="Arial" w:hAnsi="Arial" w:cs="Arial"/>
                <w:color w:val="000000"/>
                <w:sz w:val="16"/>
                <w:szCs w:val="16"/>
                <w:highlight w:val="green"/>
                <w:lang w:eastAsia="en-CA"/>
              </w:rPr>
            </w:pPr>
            <w:r w:rsidRPr="00AB42F3">
              <w:rPr>
                <w:rFonts w:ascii="Arial" w:hAnsi="Arial" w:cs="Arial"/>
                <w:sz w:val="16"/>
                <w:szCs w:val="16"/>
                <w:lang w:eastAsia="en-CA"/>
              </w:rPr>
              <w:t>202</w:t>
            </w:r>
            <w:r w:rsidR="00607E1A" w:rsidRPr="00AB42F3">
              <w:rPr>
                <w:rFonts w:ascii="Arial" w:hAnsi="Arial" w:cs="Arial"/>
                <w:sz w:val="16"/>
                <w:szCs w:val="16"/>
                <w:lang w:eastAsia="en-CA"/>
              </w:rPr>
              <w:t>2</w:t>
            </w:r>
            <w:r w:rsidRPr="00AB42F3">
              <w:rPr>
                <w:rFonts w:ascii="Arial" w:hAnsi="Arial" w:cs="Arial"/>
                <w:sz w:val="16"/>
                <w:szCs w:val="16"/>
                <w:highlight w:val="green"/>
                <w:lang w:eastAsia="en-CA"/>
              </w:rPr>
              <w:br/>
            </w:r>
            <w:r w:rsidRPr="00AB42F3">
              <w:rPr>
                <w:rFonts w:ascii="Arial" w:hAnsi="Arial" w:cs="Arial"/>
                <w:sz w:val="16"/>
                <w:szCs w:val="16"/>
                <w:lang w:eastAsia="en-CA"/>
              </w:rPr>
              <w:t>$</w:t>
            </w:r>
          </w:p>
        </w:tc>
      </w:tr>
      <w:tr w:rsidR="00607E1A" w:rsidRPr="00A10E12" w14:paraId="08ABB4FA" w14:textId="77777777" w:rsidTr="005C0E14">
        <w:trPr>
          <w:trHeight w:hRule="exact" w:val="247"/>
        </w:trPr>
        <w:tc>
          <w:tcPr>
            <w:tcW w:w="4871" w:type="dxa"/>
            <w:tcBorders>
              <w:top w:val="single" w:sz="12" w:space="0" w:color="000000"/>
              <w:left w:val="nil"/>
              <w:bottom w:val="nil"/>
              <w:right w:val="nil"/>
            </w:tcBorders>
            <w:shd w:val="clear" w:color="auto" w:fill="auto"/>
            <w:vAlign w:val="center"/>
            <w:hideMark/>
          </w:tcPr>
          <w:p w14:paraId="2A6B7E71" w14:textId="77777777" w:rsidR="00607E1A" w:rsidRPr="00A10E12" w:rsidRDefault="00607E1A" w:rsidP="00607E1A">
            <w:pPr>
              <w:rPr>
                <w:rFonts w:ascii="Arial" w:hAnsi="Arial" w:cs="Arial"/>
                <w:sz w:val="16"/>
                <w:szCs w:val="16"/>
                <w:lang w:eastAsia="en-CA"/>
              </w:rPr>
            </w:pPr>
            <w:r w:rsidRPr="00A10E12">
              <w:rPr>
                <w:rFonts w:ascii="Arial" w:hAnsi="Arial" w:cs="Arial"/>
                <w:sz w:val="16"/>
                <w:szCs w:val="16"/>
                <w:lang w:eastAsia="en-CA"/>
              </w:rPr>
              <w:t>Salary and wages</w:t>
            </w:r>
          </w:p>
        </w:tc>
        <w:tc>
          <w:tcPr>
            <w:tcW w:w="1701" w:type="dxa"/>
            <w:tcBorders>
              <w:top w:val="single" w:sz="12" w:space="0" w:color="000000"/>
              <w:left w:val="nil"/>
              <w:bottom w:val="nil"/>
              <w:right w:val="nil"/>
            </w:tcBorders>
            <w:shd w:val="clear" w:color="auto" w:fill="auto"/>
            <w:vAlign w:val="center"/>
            <w:hideMark/>
          </w:tcPr>
          <w:p w14:paraId="78DE8765" w14:textId="2EF96C31" w:rsidR="00607E1A" w:rsidRPr="00A10E12" w:rsidRDefault="00607E1A" w:rsidP="00607E1A">
            <w:pPr>
              <w:jc w:val="right"/>
              <w:rPr>
                <w:rFonts w:ascii="Arial" w:hAnsi="Arial" w:cs="Arial"/>
                <w:b/>
                <w:bCs/>
                <w:sz w:val="16"/>
                <w:szCs w:val="16"/>
                <w:highlight w:val="yellow"/>
                <w:lang w:eastAsia="en-CA"/>
              </w:rPr>
            </w:pPr>
            <w:r w:rsidRPr="00B532B7">
              <w:rPr>
                <w:rFonts w:ascii="Arial" w:hAnsi="Arial" w:cs="Arial"/>
                <w:b/>
                <w:bCs/>
                <w:sz w:val="16"/>
                <w:szCs w:val="16"/>
                <w:lang w:eastAsia="en-CA"/>
              </w:rPr>
              <w:t>4</w:t>
            </w:r>
            <w:r w:rsidR="00B532B7" w:rsidRPr="00B532B7">
              <w:rPr>
                <w:rFonts w:ascii="Arial" w:hAnsi="Arial" w:cs="Arial"/>
                <w:b/>
                <w:bCs/>
                <w:sz w:val="16"/>
                <w:szCs w:val="16"/>
                <w:lang w:eastAsia="en-CA"/>
              </w:rPr>
              <w:t>52,646</w:t>
            </w:r>
          </w:p>
        </w:tc>
        <w:tc>
          <w:tcPr>
            <w:tcW w:w="1701" w:type="dxa"/>
            <w:tcBorders>
              <w:top w:val="single" w:sz="12" w:space="0" w:color="000000"/>
              <w:left w:val="nil"/>
              <w:bottom w:val="nil"/>
              <w:right w:val="nil"/>
            </w:tcBorders>
            <w:vAlign w:val="center"/>
          </w:tcPr>
          <w:p w14:paraId="7B31B8F7" w14:textId="5E4B2A5F" w:rsidR="00607E1A" w:rsidRPr="00A10E12" w:rsidRDefault="00607E1A" w:rsidP="00607E1A">
            <w:pPr>
              <w:jc w:val="right"/>
              <w:rPr>
                <w:rFonts w:ascii="Arial" w:hAnsi="Arial" w:cs="Arial"/>
                <w:sz w:val="16"/>
                <w:szCs w:val="16"/>
                <w:lang w:eastAsia="en-CA"/>
              </w:rPr>
            </w:pPr>
            <w:r w:rsidRPr="00A10E12">
              <w:rPr>
                <w:rFonts w:ascii="Arial" w:hAnsi="Arial" w:cs="Arial"/>
                <w:bCs/>
                <w:sz w:val="16"/>
                <w:szCs w:val="16"/>
                <w:lang w:eastAsia="en-CA"/>
              </w:rPr>
              <w:t>429,921</w:t>
            </w:r>
          </w:p>
        </w:tc>
      </w:tr>
      <w:tr w:rsidR="00607E1A" w:rsidRPr="00A10E12" w14:paraId="3342DBCE" w14:textId="77777777" w:rsidTr="005C0E14">
        <w:trPr>
          <w:trHeight w:hRule="exact" w:val="247"/>
        </w:trPr>
        <w:tc>
          <w:tcPr>
            <w:tcW w:w="4871" w:type="dxa"/>
            <w:tcBorders>
              <w:top w:val="nil"/>
              <w:left w:val="nil"/>
              <w:bottom w:val="nil"/>
              <w:right w:val="nil"/>
            </w:tcBorders>
            <w:shd w:val="clear" w:color="auto" w:fill="auto"/>
            <w:vAlign w:val="center"/>
            <w:hideMark/>
          </w:tcPr>
          <w:p w14:paraId="3E4A9185" w14:textId="77777777" w:rsidR="00607E1A" w:rsidRPr="00A10E12" w:rsidRDefault="00607E1A" w:rsidP="00607E1A">
            <w:pPr>
              <w:rPr>
                <w:rFonts w:ascii="Arial" w:hAnsi="Arial" w:cs="Arial"/>
                <w:sz w:val="16"/>
                <w:szCs w:val="16"/>
                <w:lang w:eastAsia="en-CA"/>
              </w:rPr>
            </w:pPr>
            <w:r w:rsidRPr="00A10E12">
              <w:rPr>
                <w:rFonts w:ascii="Arial" w:hAnsi="Arial" w:cs="Arial"/>
                <w:sz w:val="16"/>
                <w:szCs w:val="16"/>
                <w:lang w:eastAsia="en-CA"/>
              </w:rPr>
              <w:t>Share-based payments</w:t>
            </w:r>
          </w:p>
        </w:tc>
        <w:tc>
          <w:tcPr>
            <w:tcW w:w="1701" w:type="dxa"/>
            <w:tcBorders>
              <w:top w:val="nil"/>
              <w:left w:val="nil"/>
              <w:bottom w:val="nil"/>
              <w:right w:val="nil"/>
            </w:tcBorders>
            <w:shd w:val="clear" w:color="auto" w:fill="auto"/>
            <w:vAlign w:val="center"/>
            <w:hideMark/>
          </w:tcPr>
          <w:p w14:paraId="4DBD65B8" w14:textId="23558593" w:rsidR="00607E1A" w:rsidRPr="00A10E12" w:rsidRDefault="008F08CD" w:rsidP="00607E1A">
            <w:pPr>
              <w:jc w:val="right"/>
              <w:rPr>
                <w:rFonts w:ascii="Arial" w:hAnsi="Arial" w:cs="Arial"/>
                <w:b/>
                <w:bCs/>
                <w:sz w:val="16"/>
                <w:szCs w:val="16"/>
                <w:highlight w:val="yellow"/>
                <w:lang w:eastAsia="en-CA"/>
              </w:rPr>
            </w:pPr>
            <w:r w:rsidRPr="008F08CD">
              <w:rPr>
                <w:rFonts w:ascii="Arial" w:hAnsi="Arial" w:cs="Arial"/>
                <w:b/>
                <w:bCs/>
                <w:sz w:val="16"/>
                <w:szCs w:val="16"/>
                <w:lang w:eastAsia="en-CA"/>
              </w:rPr>
              <w:t>296,636</w:t>
            </w:r>
          </w:p>
        </w:tc>
        <w:tc>
          <w:tcPr>
            <w:tcW w:w="1701" w:type="dxa"/>
            <w:tcBorders>
              <w:top w:val="nil"/>
              <w:left w:val="nil"/>
              <w:bottom w:val="nil"/>
              <w:right w:val="nil"/>
            </w:tcBorders>
            <w:vAlign w:val="center"/>
          </w:tcPr>
          <w:p w14:paraId="21897C29" w14:textId="58494EB3" w:rsidR="00607E1A" w:rsidRPr="00A10E12" w:rsidRDefault="00607E1A" w:rsidP="00607E1A">
            <w:pPr>
              <w:jc w:val="right"/>
              <w:rPr>
                <w:rFonts w:ascii="Arial" w:hAnsi="Arial" w:cs="Arial"/>
                <w:bCs/>
                <w:sz w:val="16"/>
                <w:szCs w:val="16"/>
                <w:lang w:eastAsia="en-CA"/>
              </w:rPr>
            </w:pPr>
            <w:r w:rsidRPr="00A10E12">
              <w:rPr>
                <w:rFonts w:ascii="Arial" w:hAnsi="Arial" w:cs="Arial"/>
                <w:bCs/>
                <w:sz w:val="16"/>
                <w:szCs w:val="16"/>
                <w:lang w:eastAsia="en-CA"/>
              </w:rPr>
              <w:t>376,116</w:t>
            </w:r>
          </w:p>
        </w:tc>
      </w:tr>
      <w:tr w:rsidR="00607E1A" w:rsidRPr="00A10E12" w14:paraId="68E5A99C" w14:textId="77777777" w:rsidTr="005C0E14">
        <w:trPr>
          <w:trHeight w:hRule="exact" w:val="247"/>
        </w:trPr>
        <w:tc>
          <w:tcPr>
            <w:tcW w:w="4871" w:type="dxa"/>
            <w:tcBorders>
              <w:top w:val="nil"/>
              <w:left w:val="nil"/>
              <w:bottom w:val="nil"/>
              <w:right w:val="nil"/>
            </w:tcBorders>
            <w:shd w:val="clear" w:color="auto" w:fill="auto"/>
            <w:vAlign w:val="center"/>
            <w:hideMark/>
          </w:tcPr>
          <w:p w14:paraId="26F73BB0" w14:textId="77777777" w:rsidR="00607E1A" w:rsidRPr="00A10E12" w:rsidRDefault="00607E1A" w:rsidP="00607E1A">
            <w:pPr>
              <w:rPr>
                <w:rFonts w:ascii="Arial" w:hAnsi="Arial" w:cs="Arial"/>
                <w:sz w:val="16"/>
                <w:szCs w:val="16"/>
                <w:lang w:eastAsia="en-CA"/>
              </w:rPr>
            </w:pPr>
            <w:r w:rsidRPr="00A10E12">
              <w:rPr>
                <w:rFonts w:ascii="Arial" w:hAnsi="Arial" w:cs="Arial"/>
                <w:sz w:val="16"/>
                <w:szCs w:val="16"/>
                <w:lang w:eastAsia="en-CA"/>
              </w:rPr>
              <w:t>Other compensation</w:t>
            </w:r>
          </w:p>
        </w:tc>
        <w:tc>
          <w:tcPr>
            <w:tcW w:w="1701" w:type="dxa"/>
            <w:tcBorders>
              <w:top w:val="nil"/>
              <w:left w:val="nil"/>
              <w:bottom w:val="nil"/>
              <w:right w:val="nil"/>
            </w:tcBorders>
            <w:shd w:val="clear" w:color="auto" w:fill="auto"/>
            <w:vAlign w:val="center"/>
            <w:hideMark/>
          </w:tcPr>
          <w:p w14:paraId="75B99E35" w14:textId="5A5FC9B8" w:rsidR="00607E1A" w:rsidRPr="00A10E12" w:rsidRDefault="008F08CD" w:rsidP="00607E1A">
            <w:pPr>
              <w:jc w:val="right"/>
              <w:rPr>
                <w:rFonts w:ascii="Arial" w:hAnsi="Arial" w:cs="Arial"/>
                <w:b/>
                <w:bCs/>
                <w:sz w:val="16"/>
                <w:szCs w:val="16"/>
                <w:highlight w:val="yellow"/>
                <w:lang w:eastAsia="en-CA"/>
              </w:rPr>
            </w:pPr>
            <w:r w:rsidRPr="008F08CD">
              <w:rPr>
                <w:rFonts w:ascii="Arial" w:hAnsi="Arial" w:cs="Arial"/>
                <w:b/>
                <w:bCs/>
                <w:sz w:val="16"/>
                <w:szCs w:val="16"/>
                <w:lang w:eastAsia="en-CA"/>
              </w:rPr>
              <w:t>20,647</w:t>
            </w:r>
          </w:p>
        </w:tc>
        <w:tc>
          <w:tcPr>
            <w:tcW w:w="1701" w:type="dxa"/>
            <w:tcBorders>
              <w:top w:val="nil"/>
              <w:left w:val="nil"/>
              <w:bottom w:val="nil"/>
              <w:right w:val="nil"/>
            </w:tcBorders>
            <w:vAlign w:val="center"/>
          </w:tcPr>
          <w:p w14:paraId="1805F0BA" w14:textId="00299A78" w:rsidR="00607E1A" w:rsidRPr="00A10E12" w:rsidRDefault="00607E1A" w:rsidP="00607E1A">
            <w:pPr>
              <w:jc w:val="right"/>
              <w:rPr>
                <w:rFonts w:ascii="Arial" w:hAnsi="Arial" w:cs="Arial"/>
                <w:sz w:val="16"/>
                <w:szCs w:val="16"/>
                <w:lang w:eastAsia="en-CA"/>
              </w:rPr>
            </w:pPr>
            <w:r w:rsidRPr="00A10E12">
              <w:rPr>
                <w:rFonts w:ascii="Arial" w:hAnsi="Arial" w:cs="Arial"/>
                <w:bCs/>
                <w:sz w:val="16"/>
                <w:szCs w:val="16"/>
                <w:lang w:eastAsia="en-CA"/>
              </w:rPr>
              <w:t>28,630</w:t>
            </w:r>
          </w:p>
        </w:tc>
      </w:tr>
      <w:tr w:rsidR="00607E1A" w:rsidRPr="00A10E12" w14:paraId="06F8857A" w14:textId="77777777" w:rsidTr="005C0E14">
        <w:trPr>
          <w:trHeight w:hRule="exact" w:val="247"/>
        </w:trPr>
        <w:tc>
          <w:tcPr>
            <w:tcW w:w="4871" w:type="dxa"/>
            <w:tcBorders>
              <w:top w:val="nil"/>
              <w:left w:val="nil"/>
              <w:bottom w:val="single" w:sz="4" w:space="0" w:color="000000"/>
              <w:right w:val="nil"/>
            </w:tcBorders>
            <w:shd w:val="clear" w:color="auto" w:fill="auto"/>
            <w:vAlign w:val="center"/>
            <w:hideMark/>
          </w:tcPr>
          <w:p w14:paraId="4DA8B2D8" w14:textId="5DFC3879" w:rsidR="00607E1A" w:rsidRPr="00A10E12" w:rsidRDefault="00607E1A" w:rsidP="00607E1A">
            <w:pPr>
              <w:rPr>
                <w:rFonts w:ascii="Arial" w:hAnsi="Arial" w:cs="Arial"/>
                <w:sz w:val="16"/>
                <w:szCs w:val="16"/>
                <w:lang w:eastAsia="en-CA"/>
              </w:rPr>
            </w:pPr>
            <w:r w:rsidRPr="00A10E12">
              <w:rPr>
                <w:rFonts w:ascii="Arial" w:hAnsi="Arial" w:cs="Arial"/>
                <w:sz w:val="16"/>
                <w:szCs w:val="16"/>
                <w:lang w:eastAsia="en-CA"/>
              </w:rPr>
              <w:t>Directors’ fees</w:t>
            </w:r>
          </w:p>
        </w:tc>
        <w:tc>
          <w:tcPr>
            <w:tcW w:w="1701" w:type="dxa"/>
            <w:tcBorders>
              <w:top w:val="nil"/>
              <w:left w:val="nil"/>
              <w:bottom w:val="single" w:sz="4" w:space="0" w:color="000000"/>
              <w:right w:val="nil"/>
            </w:tcBorders>
            <w:shd w:val="clear" w:color="auto" w:fill="auto"/>
            <w:vAlign w:val="center"/>
            <w:hideMark/>
          </w:tcPr>
          <w:p w14:paraId="5BE1D4E5" w14:textId="40CE622B" w:rsidR="00607E1A" w:rsidRPr="00A10E12" w:rsidRDefault="00607E1A" w:rsidP="00607E1A">
            <w:pPr>
              <w:jc w:val="right"/>
              <w:rPr>
                <w:rFonts w:ascii="Arial" w:hAnsi="Arial" w:cs="Arial"/>
                <w:b/>
                <w:bCs/>
                <w:sz w:val="16"/>
                <w:szCs w:val="16"/>
                <w:highlight w:val="yellow"/>
                <w:lang w:eastAsia="en-CA"/>
              </w:rPr>
            </w:pPr>
            <w:r w:rsidRPr="008F08CD">
              <w:rPr>
                <w:rFonts w:ascii="Arial" w:hAnsi="Arial" w:cs="Arial"/>
                <w:b/>
                <w:bCs/>
                <w:sz w:val="16"/>
                <w:szCs w:val="16"/>
                <w:lang w:eastAsia="en-CA"/>
              </w:rPr>
              <w:t>7</w:t>
            </w:r>
            <w:r w:rsidR="008F08CD" w:rsidRPr="008F08CD">
              <w:rPr>
                <w:rFonts w:ascii="Arial" w:hAnsi="Arial" w:cs="Arial"/>
                <w:b/>
                <w:bCs/>
                <w:sz w:val="16"/>
                <w:szCs w:val="16"/>
                <w:lang w:eastAsia="en-CA"/>
              </w:rPr>
              <w:t>1,535</w:t>
            </w:r>
          </w:p>
        </w:tc>
        <w:tc>
          <w:tcPr>
            <w:tcW w:w="1701" w:type="dxa"/>
            <w:tcBorders>
              <w:top w:val="nil"/>
              <w:left w:val="nil"/>
              <w:bottom w:val="single" w:sz="4" w:space="0" w:color="000000"/>
              <w:right w:val="nil"/>
            </w:tcBorders>
            <w:vAlign w:val="center"/>
          </w:tcPr>
          <w:p w14:paraId="504334D4" w14:textId="3F96AC35" w:rsidR="00607E1A" w:rsidRPr="00A10E12" w:rsidRDefault="00607E1A" w:rsidP="00607E1A">
            <w:pPr>
              <w:jc w:val="right"/>
              <w:rPr>
                <w:rFonts w:ascii="Arial" w:hAnsi="Arial" w:cs="Arial"/>
                <w:sz w:val="16"/>
                <w:szCs w:val="16"/>
                <w:lang w:eastAsia="en-CA"/>
              </w:rPr>
            </w:pPr>
            <w:r w:rsidRPr="00A10E12">
              <w:rPr>
                <w:rFonts w:ascii="Arial" w:hAnsi="Arial" w:cs="Arial"/>
                <w:bCs/>
                <w:sz w:val="16"/>
                <w:szCs w:val="16"/>
                <w:lang w:eastAsia="en-CA"/>
              </w:rPr>
              <w:t>72,861</w:t>
            </w:r>
          </w:p>
        </w:tc>
      </w:tr>
      <w:tr w:rsidR="00607E1A" w:rsidRPr="00A10E12" w14:paraId="54F32585" w14:textId="77777777" w:rsidTr="005C0E14">
        <w:trPr>
          <w:trHeight w:hRule="exact" w:val="247"/>
        </w:trPr>
        <w:tc>
          <w:tcPr>
            <w:tcW w:w="4871" w:type="dxa"/>
            <w:tcBorders>
              <w:top w:val="single" w:sz="4" w:space="0" w:color="000000"/>
              <w:right w:val="nil"/>
            </w:tcBorders>
            <w:shd w:val="clear" w:color="auto" w:fill="auto"/>
            <w:vAlign w:val="center"/>
            <w:hideMark/>
          </w:tcPr>
          <w:p w14:paraId="07254ADB" w14:textId="289A618F" w:rsidR="00607E1A" w:rsidRPr="00A10E12" w:rsidRDefault="00607E1A" w:rsidP="00607E1A">
            <w:pPr>
              <w:rPr>
                <w:rFonts w:ascii="Arial" w:hAnsi="Arial" w:cs="Arial"/>
                <w:color w:val="000000"/>
                <w:sz w:val="16"/>
                <w:szCs w:val="16"/>
                <w:lang w:eastAsia="en-CA"/>
              </w:rPr>
            </w:pPr>
            <w:r w:rsidRPr="00A10E12">
              <w:rPr>
                <w:rFonts w:ascii="Arial" w:hAnsi="Arial" w:cs="Arial"/>
                <w:color w:val="000000"/>
                <w:sz w:val="16"/>
                <w:szCs w:val="16"/>
                <w:lang w:eastAsia="en-CA"/>
              </w:rPr>
              <w:t> Total</w:t>
            </w:r>
          </w:p>
        </w:tc>
        <w:tc>
          <w:tcPr>
            <w:tcW w:w="1701" w:type="dxa"/>
            <w:tcBorders>
              <w:top w:val="single" w:sz="4" w:space="0" w:color="000000"/>
              <w:left w:val="nil"/>
              <w:right w:val="nil"/>
            </w:tcBorders>
            <w:shd w:val="clear" w:color="auto" w:fill="auto"/>
            <w:vAlign w:val="center"/>
            <w:hideMark/>
          </w:tcPr>
          <w:p w14:paraId="3CB55A23" w14:textId="107C8937" w:rsidR="00607E1A" w:rsidRPr="00A10E12" w:rsidRDefault="00B532B7" w:rsidP="00607E1A">
            <w:pPr>
              <w:jc w:val="right"/>
              <w:rPr>
                <w:rFonts w:ascii="Arial" w:hAnsi="Arial" w:cs="Arial"/>
                <w:b/>
                <w:bCs/>
                <w:color w:val="000000"/>
                <w:sz w:val="16"/>
                <w:szCs w:val="16"/>
                <w:highlight w:val="yellow"/>
                <w:lang w:eastAsia="en-CA"/>
              </w:rPr>
            </w:pPr>
            <w:r w:rsidRPr="00B532B7">
              <w:rPr>
                <w:rFonts w:ascii="Arial" w:hAnsi="Arial" w:cs="Arial"/>
                <w:b/>
                <w:bCs/>
                <w:color w:val="000000"/>
                <w:sz w:val="16"/>
                <w:szCs w:val="16"/>
                <w:lang w:eastAsia="en-CA"/>
              </w:rPr>
              <w:t>841,464</w:t>
            </w:r>
          </w:p>
        </w:tc>
        <w:tc>
          <w:tcPr>
            <w:tcW w:w="1701" w:type="dxa"/>
            <w:tcBorders>
              <w:top w:val="single" w:sz="4" w:space="0" w:color="000000"/>
              <w:left w:val="nil"/>
              <w:right w:val="nil"/>
            </w:tcBorders>
            <w:vAlign w:val="center"/>
          </w:tcPr>
          <w:p w14:paraId="09606D54" w14:textId="0320B6E4" w:rsidR="00607E1A" w:rsidRPr="00A10E12" w:rsidRDefault="00607E1A" w:rsidP="00607E1A">
            <w:pPr>
              <w:jc w:val="right"/>
              <w:rPr>
                <w:rFonts w:ascii="Arial" w:hAnsi="Arial" w:cs="Arial"/>
                <w:color w:val="000000"/>
                <w:sz w:val="16"/>
                <w:szCs w:val="16"/>
                <w:lang w:eastAsia="en-CA"/>
              </w:rPr>
            </w:pPr>
            <w:r w:rsidRPr="00A10E12">
              <w:rPr>
                <w:rFonts w:ascii="Arial" w:hAnsi="Arial" w:cs="Arial"/>
                <w:bCs/>
                <w:color w:val="000000"/>
                <w:sz w:val="16"/>
                <w:szCs w:val="16"/>
                <w:lang w:eastAsia="en-CA"/>
              </w:rPr>
              <w:t>907,528</w:t>
            </w:r>
          </w:p>
        </w:tc>
      </w:tr>
    </w:tbl>
    <w:p w14:paraId="040F400D" w14:textId="77777777" w:rsidR="00E9009E" w:rsidRPr="00F56223" w:rsidRDefault="00A5315A" w:rsidP="00E9009E">
      <w:pPr>
        <w:pStyle w:val="BodyText"/>
        <w:ind w:left="800" w:right="777"/>
        <w:jc w:val="both"/>
        <w:rPr>
          <w:rFonts w:ascii="Arial" w:hAnsi="Arial" w:cs="Arial"/>
        </w:rPr>
      </w:pPr>
      <w:r w:rsidRPr="00A10E12">
        <w:rPr>
          <w:rFonts w:ascii="Arial" w:hAnsi="Arial" w:cs="Arial"/>
        </w:rPr>
        <w:fldChar w:fldCharType="end"/>
      </w:r>
    </w:p>
    <w:p w14:paraId="4C279C83" w14:textId="77777777" w:rsidR="00E9009E" w:rsidRPr="00F56223" w:rsidRDefault="00E9009E" w:rsidP="00E9009E">
      <w:pPr>
        <w:pStyle w:val="BodyText"/>
        <w:ind w:left="800" w:right="777"/>
        <w:jc w:val="both"/>
        <w:rPr>
          <w:rFonts w:ascii="Arial" w:hAnsi="Arial" w:cs="Arial"/>
        </w:rPr>
      </w:pPr>
    </w:p>
    <w:p w14:paraId="5B0899F6" w14:textId="77777777" w:rsidR="00E9009E" w:rsidRPr="00F56223" w:rsidRDefault="00E9009E" w:rsidP="00E9009E">
      <w:pPr>
        <w:pStyle w:val="BodyText"/>
        <w:ind w:left="800" w:right="777"/>
        <w:jc w:val="both"/>
        <w:rPr>
          <w:rFonts w:ascii="Arial" w:hAnsi="Arial" w:cs="Arial"/>
        </w:rPr>
      </w:pPr>
    </w:p>
    <w:p w14:paraId="26AC2E79" w14:textId="77777777" w:rsidR="00E9009E" w:rsidRPr="00F56223" w:rsidRDefault="00E9009E" w:rsidP="00E9009E">
      <w:pPr>
        <w:pStyle w:val="BodyText"/>
        <w:ind w:left="800" w:right="777"/>
        <w:jc w:val="both"/>
        <w:rPr>
          <w:rFonts w:ascii="Arial" w:hAnsi="Arial" w:cs="Arial"/>
        </w:rPr>
      </w:pPr>
    </w:p>
    <w:p w14:paraId="6A2D8166" w14:textId="5ECDB847" w:rsidR="00A5315A" w:rsidRPr="00A10E12" w:rsidRDefault="00A15174" w:rsidP="00E9009E">
      <w:pPr>
        <w:pStyle w:val="Heading3"/>
        <w:tabs>
          <w:tab w:val="left" w:pos="1103"/>
        </w:tabs>
        <w:ind w:left="799" w:firstLine="0"/>
        <w:rPr>
          <w:rFonts w:ascii="Arial" w:hAnsi="Arial" w:cs="Arial"/>
          <w:sz w:val="16"/>
          <w:szCs w:val="16"/>
        </w:rPr>
      </w:pPr>
      <w:r w:rsidRPr="00A10E12">
        <w:rPr>
          <w:rFonts w:ascii="Arial" w:hAnsi="Arial" w:cs="Arial"/>
          <w:sz w:val="16"/>
          <w:szCs w:val="16"/>
        </w:rPr>
        <w:t>11.</w:t>
      </w:r>
      <w:r w:rsidR="00615074" w:rsidRPr="00DB4167">
        <w:rPr>
          <w:rFonts w:ascii="Arial" w:hAnsi="Arial" w:cs="Arial"/>
        </w:rPr>
        <w:t xml:space="preserve">  </w:t>
      </w:r>
      <w:r w:rsidR="00A5315A" w:rsidRPr="00A10E12">
        <w:rPr>
          <w:rFonts w:ascii="Arial" w:hAnsi="Arial" w:cs="Arial"/>
          <w:sz w:val="16"/>
          <w:szCs w:val="16"/>
        </w:rPr>
        <w:t>COMMITMENTS</w:t>
      </w:r>
    </w:p>
    <w:p w14:paraId="367FAC7A" w14:textId="77777777" w:rsidR="00E9009E" w:rsidRPr="00F56223" w:rsidRDefault="00E9009E" w:rsidP="005C0E14">
      <w:pPr>
        <w:pStyle w:val="BodyText"/>
        <w:ind w:left="851" w:right="777"/>
        <w:jc w:val="both"/>
        <w:rPr>
          <w:rFonts w:ascii="Arial" w:hAnsi="Arial" w:cs="Arial"/>
        </w:rPr>
      </w:pPr>
    </w:p>
    <w:p w14:paraId="4B84D40F" w14:textId="4253A444" w:rsidR="00142D48" w:rsidRDefault="000749A0" w:rsidP="005C0E14">
      <w:pPr>
        <w:widowControl w:val="0"/>
        <w:autoSpaceDE w:val="0"/>
        <w:autoSpaceDN w:val="0"/>
        <w:ind w:left="851"/>
        <w:rPr>
          <w:rFonts w:ascii="Arial" w:hAnsi="Arial"/>
          <w:sz w:val="16"/>
          <w:szCs w:val="16"/>
        </w:rPr>
      </w:pPr>
      <w:r w:rsidRPr="000749A0">
        <w:rPr>
          <w:rFonts w:ascii="Arial" w:hAnsi="Arial"/>
          <w:sz w:val="16"/>
          <w:szCs w:val="16"/>
        </w:rPr>
        <w:t>There are no commitments to disclose.</w:t>
      </w:r>
    </w:p>
    <w:p w14:paraId="0E080E8C" w14:textId="77777777" w:rsidR="00084AB5" w:rsidRDefault="00084AB5" w:rsidP="005C0E14">
      <w:pPr>
        <w:widowControl w:val="0"/>
        <w:autoSpaceDE w:val="0"/>
        <w:autoSpaceDN w:val="0"/>
        <w:ind w:left="851"/>
        <w:rPr>
          <w:rFonts w:ascii="Arial" w:hAnsi="Arial"/>
        </w:rPr>
      </w:pPr>
    </w:p>
    <w:p w14:paraId="30456206" w14:textId="74748F39" w:rsidR="00840D23" w:rsidRPr="00A10E12" w:rsidRDefault="00A15174" w:rsidP="005C0E14">
      <w:pPr>
        <w:pStyle w:val="Heading3"/>
        <w:tabs>
          <w:tab w:val="left" w:pos="1103"/>
        </w:tabs>
        <w:ind w:left="851" w:firstLine="0"/>
        <w:rPr>
          <w:rFonts w:ascii="Arial" w:hAnsi="Arial" w:cs="Arial"/>
          <w:sz w:val="16"/>
          <w:szCs w:val="16"/>
        </w:rPr>
      </w:pPr>
      <w:r w:rsidRPr="005D16C4">
        <w:rPr>
          <w:rFonts w:ascii="Arial" w:hAnsi="Arial" w:cs="Arial"/>
          <w:sz w:val="16"/>
          <w:szCs w:val="16"/>
        </w:rPr>
        <w:t>12</w:t>
      </w:r>
      <w:r w:rsidRPr="00C24B7A">
        <w:rPr>
          <w:rFonts w:ascii="Arial" w:hAnsi="Arial" w:cs="Arial"/>
          <w:sz w:val="16"/>
          <w:szCs w:val="16"/>
        </w:rPr>
        <w:t>.</w:t>
      </w:r>
      <w:r w:rsidR="00615074" w:rsidRPr="00C24B7A">
        <w:rPr>
          <w:rFonts w:ascii="Arial" w:hAnsi="Arial" w:cs="Arial"/>
          <w:sz w:val="16"/>
          <w:szCs w:val="16"/>
        </w:rPr>
        <w:t xml:space="preserve">  </w:t>
      </w:r>
      <w:r w:rsidR="00840D23" w:rsidRPr="00C24B7A">
        <w:rPr>
          <w:rFonts w:ascii="Arial" w:hAnsi="Arial" w:cs="Arial"/>
          <w:sz w:val="16"/>
          <w:szCs w:val="16"/>
        </w:rPr>
        <w:t>IN</w:t>
      </w:r>
      <w:r w:rsidRPr="00C24B7A">
        <w:rPr>
          <w:rFonts w:ascii="Arial" w:hAnsi="Arial" w:cs="Arial"/>
          <w:sz w:val="16"/>
          <w:szCs w:val="16"/>
        </w:rPr>
        <w:t>C</w:t>
      </w:r>
      <w:r w:rsidR="00840D23" w:rsidRPr="00C24B7A">
        <w:rPr>
          <w:rFonts w:ascii="Arial" w:hAnsi="Arial" w:cs="Arial"/>
          <w:sz w:val="16"/>
          <w:szCs w:val="16"/>
        </w:rPr>
        <w:t>OME TAX EXPENSE</w:t>
      </w:r>
    </w:p>
    <w:p w14:paraId="6553F326" w14:textId="60A3D590" w:rsidR="00840D23" w:rsidRPr="001668F0" w:rsidRDefault="00840D23" w:rsidP="005C0E14">
      <w:pPr>
        <w:pStyle w:val="Heading3"/>
        <w:tabs>
          <w:tab w:val="left" w:pos="1103"/>
        </w:tabs>
        <w:ind w:left="851" w:firstLine="0"/>
        <w:rPr>
          <w:rFonts w:ascii="Arial" w:hAnsi="Arial" w:cs="Arial"/>
        </w:rPr>
      </w:pPr>
    </w:p>
    <w:p w14:paraId="0844F093" w14:textId="78B652F9" w:rsidR="00840D23" w:rsidRPr="001668F0" w:rsidRDefault="00840D23" w:rsidP="005C0E14">
      <w:pPr>
        <w:pStyle w:val="Heading3"/>
        <w:numPr>
          <w:ilvl w:val="0"/>
          <w:numId w:val="18"/>
        </w:numPr>
        <w:tabs>
          <w:tab w:val="left" w:pos="1103"/>
          <w:tab w:val="left" w:pos="9072"/>
        </w:tabs>
        <w:ind w:left="851" w:right="509" w:firstLine="0"/>
        <w:rPr>
          <w:rFonts w:ascii="Arial" w:hAnsi="Arial" w:cs="Arial"/>
          <w:b w:val="0"/>
          <w:bCs w:val="0"/>
          <w:sz w:val="16"/>
          <w:szCs w:val="16"/>
        </w:rPr>
      </w:pPr>
      <w:r w:rsidRPr="001668F0">
        <w:rPr>
          <w:rFonts w:ascii="Arial" w:hAnsi="Arial" w:cs="Arial"/>
          <w:b w:val="0"/>
          <w:bCs w:val="0"/>
          <w:sz w:val="16"/>
          <w:szCs w:val="16"/>
        </w:rPr>
        <w:t>The Corporation's income tax expense differs from the amount computed by applying the combined federal and provincial income tax rates to loss before income taxes as a result of the following:</w:t>
      </w:r>
    </w:p>
    <w:p w14:paraId="3C03CC03" w14:textId="77777777" w:rsidR="00840D23" w:rsidRPr="00926689" w:rsidRDefault="00840D23" w:rsidP="007B2708">
      <w:pPr>
        <w:pStyle w:val="Heading3"/>
        <w:tabs>
          <w:tab w:val="left" w:pos="1103"/>
        </w:tabs>
        <w:ind w:left="1159" w:firstLine="0"/>
        <w:rPr>
          <w:rFonts w:ascii="Arial" w:hAnsi="Arial" w:cs="Arial"/>
          <w:b w:val="0"/>
          <w:bCs w:val="0"/>
          <w:sz w:val="16"/>
          <w:szCs w:val="16"/>
          <w:highlight w:val="cyan"/>
        </w:rPr>
      </w:pPr>
    </w:p>
    <w:tbl>
      <w:tblPr>
        <w:tblW w:w="8024" w:type="dxa"/>
        <w:tblInd w:w="799" w:type="dxa"/>
        <w:tblLook w:val="04A0" w:firstRow="1" w:lastRow="0" w:firstColumn="1" w:lastColumn="0" w:noHBand="0" w:noVBand="1"/>
      </w:tblPr>
      <w:tblGrid>
        <w:gridCol w:w="4446"/>
        <w:gridCol w:w="1843"/>
        <w:gridCol w:w="1735"/>
      </w:tblGrid>
      <w:tr w:rsidR="00840D23" w:rsidRPr="00926689" w14:paraId="4A3D835D" w14:textId="77777777" w:rsidTr="00AB42F3">
        <w:trPr>
          <w:trHeight w:val="221"/>
        </w:trPr>
        <w:tc>
          <w:tcPr>
            <w:tcW w:w="4446" w:type="dxa"/>
            <w:tcBorders>
              <w:top w:val="nil"/>
              <w:left w:val="nil"/>
              <w:bottom w:val="single" w:sz="12" w:space="0" w:color="000000"/>
              <w:right w:val="nil"/>
            </w:tcBorders>
            <w:shd w:val="clear" w:color="auto" w:fill="auto"/>
            <w:hideMark/>
          </w:tcPr>
          <w:p w14:paraId="46227FB0" w14:textId="77777777" w:rsidR="00840D23" w:rsidRPr="00926689" w:rsidRDefault="00840D23" w:rsidP="007B2708">
            <w:pPr>
              <w:tabs>
                <w:tab w:val="left" w:pos="720"/>
              </w:tabs>
              <w:rPr>
                <w:rFonts w:ascii="Arial" w:hAnsi="Arial" w:cs="Arial"/>
                <w:color w:val="000000"/>
                <w:sz w:val="16"/>
                <w:szCs w:val="16"/>
                <w:highlight w:val="cyan"/>
                <w:lang w:eastAsia="en-CA"/>
              </w:rPr>
            </w:pPr>
          </w:p>
        </w:tc>
        <w:tc>
          <w:tcPr>
            <w:tcW w:w="1843" w:type="dxa"/>
            <w:tcBorders>
              <w:top w:val="nil"/>
              <w:left w:val="nil"/>
              <w:bottom w:val="single" w:sz="12" w:space="0" w:color="000000"/>
              <w:right w:val="nil"/>
            </w:tcBorders>
            <w:shd w:val="clear" w:color="auto" w:fill="auto"/>
            <w:hideMark/>
          </w:tcPr>
          <w:p w14:paraId="34894F97" w14:textId="08B1CF31" w:rsidR="00840D23" w:rsidRPr="00DF5145" w:rsidRDefault="00840D23" w:rsidP="002D20D4">
            <w:pPr>
              <w:jc w:val="right"/>
              <w:rPr>
                <w:rFonts w:ascii="Arial" w:hAnsi="Arial" w:cs="Arial"/>
                <w:b/>
                <w:bCs/>
                <w:sz w:val="16"/>
                <w:szCs w:val="16"/>
                <w:lang w:eastAsia="en-CA"/>
              </w:rPr>
            </w:pPr>
            <w:r w:rsidRPr="00DF5145">
              <w:rPr>
                <w:rFonts w:ascii="Arial" w:hAnsi="Arial" w:cs="Arial"/>
                <w:b/>
                <w:bCs/>
                <w:sz w:val="16"/>
                <w:szCs w:val="16"/>
                <w:lang w:eastAsia="en-CA"/>
              </w:rPr>
              <w:t>202</w:t>
            </w:r>
            <w:r w:rsidR="001668F0" w:rsidRPr="00DF5145">
              <w:rPr>
                <w:rFonts w:ascii="Arial" w:hAnsi="Arial" w:cs="Arial"/>
                <w:b/>
                <w:bCs/>
                <w:sz w:val="16"/>
                <w:szCs w:val="16"/>
                <w:lang w:eastAsia="en-CA"/>
              </w:rPr>
              <w:t>3</w:t>
            </w:r>
            <w:r w:rsidRPr="00DF5145">
              <w:rPr>
                <w:rFonts w:ascii="Arial" w:hAnsi="Arial" w:cs="Arial"/>
                <w:b/>
                <w:bCs/>
                <w:sz w:val="16"/>
                <w:szCs w:val="16"/>
                <w:lang w:eastAsia="en-CA"/>
              </w:rPr>
              <w:br/>
              <w:t>$</w:t>
            </w:r>
          </w:p>
        </w:tc>
        <w:tc>
          <w:tcPr>
            <w:tcW w:w="1735" w:type="dxa"/>
            <w:tcBorders>
              <w:top w:val="nil"/>
              <w:left w:val="nil"/>
              <w:bottom w:val="single" w:sz="12" w:space="0" w:color="000000"/>
              <w:right w:val="nil"/>
            </w:tcBorders>
            <w:shd w:val="clear" w:color="auto" w:fill="auto"/>
            <w:hideMark/>
          </w:tcPr>
          <w:p w14:paraId="12BF26BB" w14:textId="6E80734E" w:rsidR="00840D23" w:rsidRPr="001668F0" w:rsidRDefault="00840D23" w:rsidP="002D20D4">
            <w:pPr>
              <w:jc w:val="right"/>
              <w:rPr>
                <w:rFonts w:ascii="Arial" w:hAnsi="Arial" w:cs="Arial"/>
                <w:color w:val="000000"/>
                <w:sz w:val="16"/>
                <w:szCs w:val="16"/>
                <w:lang w:eastAsia="en-CA"/>
              </w:rPr>
            </w:pPr>
            <w:r w:rsidRPr="001668F0">
              <w:rPr>
                <w:rFonts w:ascii="Arial" w:hAnsi="Arial" w:cs="Arial"/>
                <w:color w:val="000000"/>
                <w:sz w:val="16"/>
                <w:szCs w:val="16"/>
                <w:lang w:eastAsia="en-CA"/>
              </w:rPr>
              <w:t>20</w:t>
            </w:r>
            <w:r w:rsidR="00A92AF7" w:rsidRPr="001668F0">
              <w:rPr>
                <w:rFonts w:ascii="Arial" w:hAnsi="Arial" w:cs="Arial"/>
                <w:color w:val="000000"/>
                <w:sz w:val="16"/>
                <w:szCs w:val="16"/>
                <w:lang w:eastAsia="en-CA"/>
              </w:rPr>
              <w:t>2</w:t>
            </w:r>
            <w:r w:rsidR="00B25BE6" w:rsidRPr="001668F0">
              <w:rPr>
                <w:rFonts w:ascii="Arial" w:hAnsi="Arial" w:cs="Arial"/>
                <w:color w:val="000000"/>
                <w:sz w:val="16"/>
                <w:szCs w:val="16"/>
                <w:lang w:eastAsia="en-CA"/>
              </w:rPr>
              <w:t>2</w:t>
            </w:r>
            <w:r w:rsidRPr="001668F0">
              <w:rPr>
                <w:rFonts w:ascii="Arial" w:hAnsi="Arial" w:cs="Arial"/>
                <w:color w:val="000000"/>
                <w:sz w:val="16"/>
                <w:szCs w:val="16"/>
                <w:lang w:eastAsia="en-CA"/>
              </w:rPr>
              <w:br/>
              <w:t>$</w:t>
            </w:r>
          </w:p>
        </w:tc>
      </w:tr>
      <w:tr w:rsidR="00AA464C" w:rsidRPr="00926689" w14:paraId="11BDAC7F" w14:textId="77777777" w:rsidTr="00C24B7A">
        <w:trPr>
          <w:trHeight w:hRule="exact" w:val="247"/>
        </w:trPr>
        <w:tc>
          <w:tcPr>
            <w:tcW w:w="4446" w:type="dxa"/>
            <w:tcBorders>
              <w:top w:val="single" w:sz="12" w:space="0" w:color="000000"/>
              <w:left w:val="nil"/>
              <w:bottom w:val="nil"/>
              <w:right w:val="nil"/>
            </w:tcBorders>
            <w:shd w:val="clear" w:color="auto" w:fill="auto"/>
            <w:vAlign w:val="bottom"/>
            <w:hideMark/>
          </w:tcPr>
          <w:p w14:paraId="34E55FCD" w14:textId="496E1965" w:rsidR="00AA464C" w:rsidRPr="001668F0" w:rsidRDefault="00AA464C" w:rsidP="00C24B7A">
            <w:pPr>
              <w:jc w:val="center"/>
              <w:rPr>
                <w:rFonts w:ascii="Arial" w:hAnsi="Arial" w:cs="Arial"/>
                <w:sz w:val="16"/>
                <w:szCs w:val="16"/>
                <w:lang w:eastAsia="en-CA"/>
              </w:rPr>
            </w:pPr>
            <w:r w:rsidRPr="001668F0">
              <w:rPr>
                <w:rFonts w:ascii="Arial" w:hAnsi="Arial" w:cs="Arial"/>
                <w:sz w:val="16"/>
                <w:szCs w:val="16"/>
                <w:lang w:eastAsia="en-CA"/>
              </w:rPr>
              <w:t>Loss for the year</w:t>
            </w:r>
          </w:p>
        </w:tc>
        <w:tc>
          <w:tcPr>
            <w:tcW w:w="1843" w:type="dxa"/>
            <w:tcBorders>
              <w:top w:val="single" w:sz="12" w:space="0" w:color="000000"/>
              <w:left w:val="nil"/>
              <w:bottom w:val="nil"/>
              <w:right w:val="nil"/>
            </w:tcBorders>
            <w:shd w:val="clear" w:color="auto" w:fill="auto"/>
            <w:vAlign w:val="center"/>
            <w:hideMark/>
          </w:tcPr>
          <w:p w14:paraId="5E990D38" w14:textId="1AF7EEFA" w:rsidR="00AA464C" w:rsidRPr="00DF5145" w:rsidRDefault="00AA464C" w:rsidP="00AA464C">
            <w:pPr>
              <w:jc w:val="right"/>
              <w:rPr>
                <w:rFonts w:ascii="Arial" w:hAnsi="Arial"/>
                <w:b/>
                <w:sz w:val="16"/>
              </w:rPr>
            </w:pPr>
            <w:r w:rsidRPr="00DF5145">
              <w:rPr>
                <w:rFonts w:ascii="Arial" w:hAnsi="Arial"/>
                <w:b/>
                <w:sz w:val="16"/>
              </w:rPr>
              <w:t>(</w:t>
            </w:r>
            <w:r w:rsidR="00BB2443">
              <w:rPr>
                <w:rFonts w:ascii="Arial" w:hAnsi="Arial"/>
                <w:b/>
                <w:sz w:val="16"/>
              </w:rPr>
              <w:t>2,</w:t>
            </w:r>
            <w:r w:rsidR="005D16C4">
              <w:rPr>
                <w:rFonts w:ascii="Arial" w:hAnsi="Arial"/>
                <w:b/>
                <w:sz w:val="16"/>
              </w:rPr>
              <w:t>806,204</w:t>
            </w:r>
            <w:r w:rsidRPr="00DF5145">
              <w:rPr>
                <w:rFonts w:ascii="Arial" w:hAnsi="Arial"/>
                <w:b/>
                <w:sz w:val="16"/>
              </w:rPr>
              <w:t>)</w:t>
            </w:r>
          </w:p>
        </w:tc>
        <w:tc>
          <w:tcPr>
            <w:tcW w:w="1735" w:type="dxa"/>
            <w:tcBorders>
              <w:top w:val="single" w:sz="12" w:space="0" w:color="000000"/>
              <w:left w:val="nil"/>
              <w:bottom w:val="nil"/>
              <w:right w:val="nil"/>
            </w:tcBorders>
            <w:shd w:val="clear" w:color="auto" w:fill="auto"/>
            <w:noWrap/>
            <w:vAlign w:val="center"/>
            <w:hideMark/>
          </w:tcPr>
          <w:p w14:paraId="309CFDB4" w14:textId="24DBE7DF" w:rsidR="00AA464C" w:rsidRPr="001668F0" w:rsidRDefault="00AA464C" w:rsidP="00AA464C">
            <w:pPr>
              <w:jc w:val="right"/>
              <w:rPr>
                <w:rFonts w:ascii="Arial" w:hAnsi="Arial" w:cs="Arial"/>
                <w:color w:val="000000"/>
                <w:sz w:val="16"/>
                <w:szCs w:val="16"/>
                <w:lang w:eastAsia="en-CA"/>
              </w:rPr>
            </w:pPr>
            <w:r w:rsidRPr="001668F0">
              <w:rPr>
                <w:rFonts w:ascii="Arial" w:hAnsi="Arial" w:cs="Arial"/>
                <w:color w:val="000000"/>
                <w:sz w:val="16"/>
                <w:szCs w:val="16"/>
                <w:lang w:eastAsia="en-CA"/>
              </w:rPr>
              <w:t>(</w:t>
            </w:r>
            <w:r w:rsidR="00B25BE6" w:rsidRPr="001668F0">
              <w:rPr>
                <w:rFonts w:ascii="Arial" w:hAnsi="Arial" w:cs="Arial"/>
                <w:color w:val="000000"/>
                <w:sz w:val="16"/>
                <w:szCs w:val="16"/>
                <w:lang w:eastAsia="en-CA"/>
              </w:rPr>
              <w:t>2,687,340</w:t>
            </w:r>
            <w:r w:rsidRPr="001668F0">
              <w:rPr>
                <w:rFonts w:ascii="Arial" w:hAnsi="Arial" w:cs="Arial"/>
                <w:color w:val="000000"/>
                <w:sz w:val="16"/>
                <w:szCs w:val="16"/>
                <w:lang w:eastAsia="en-CA"/>
              </w:rPr>
              <w:t>)</w:t>
            </w:r>
          </w:p>
        </w:tc>
      </w:tr>
      <w:tr w:rsidR="00AA464C" w:rsidRPr="00926689" w14:paraId="2FE60C87" w14:textId="77777777" w:rsidTr="000F431E">
        <w:trPr>
          <w:trHeight w:hRule="exact" w:val="247"/>
        </w:trPr>
        <w:tc>
          <w:tcPr>
            <w:tcW w:w="4446" w:type="dxa"/>
            <w:tcBorders>
              <w:top w:val="nil"/>
              <w:left w:val="nil"/>
              <w:bottom w:val="nil"/>
              <w:right w:val="nil"/>
            </w:tcBorders>
            <w:shd w:val="clear" w:color="auto" w:fill="auto"/>
            <w:vAlign w:val="center"/>
          </w:tcPr>
          <w:p w14:paraId="348F5044" w14:textId="71C610D1" w:rsidR="00AA464C" w:rsidRPr="001668F0" w:rsidRDefault="00AA464C" w:rsidP="00AA464C">
            <w:pPr>
              <w:rPr>
                <w:rFonts w:ascii="Arial" w:hAnsi="Arial" w:cs="Arial"/>
                <w:sz w:val="16"/>
                <w:szCs w:val="16"/>
                <w:lang w:eastAsia="en-CA"/>
              </w:rPr>
            </w:pPr>
          </w:p>
        </w:tc>
        <w:tc>
          <w:tcPr>
            <w:tcW w:w="1843" w:type="dxa"/>
            <w:tcBorders>
              <w:top w:val="nil"/>
              <w:left w:val="nil"/>
              <w:bottom w:val="nil"/>
              <w:right w:val="nil"/>
            </w:tcBorders>
            <w:shd w:val="clear" w:color="auto" w:fill="auto"/>
            <w:vAlign w:val="center"/>
            <w:hideMark/>
          </w:tcPr>
          <w:p w14:paraId="79070928" w14:textId="2908EDDE" w:rsidR="00AA464C" w:rsidRPr="00DF5145" w:rsidRDefault="00AA464C" w:rsidP="00AA464C">
            <w:pPr>
              <w:jc w:val="right"/>
              <w:rPr>
                <w:rFonts w:ascii="Arial" w:hAnsi="Arial"/>
                <w:b/>
                <w:sz w:val="16"/>
              </w:rPr>
            </w:pPr>
          </w:p>
        </w:tc>
        <w:tc>
          <w:tcPr>
            <w:tcW w:w="1735" w:type="dxa"/>
            <w:tcBorders>
              <w:top w:val="nil"/>
              <w:left w:val="nil"/>
              <w:bottom w:val="nil"/>
              <w:right w:val="nil"/>
            </w:tcBorders>
            <w:shd w:val="clear" w:color="auto" w:fill="auto"/>
            <w:noWrap/>
            <w:vAlign w:val="center"/>
          </w:tcPr>
          <w:p w14:paraId="1DF7362D" w14:textId="569A1FE2" w:rsidR="00AA464C" w:rsidRPr="001668F0" w:rsidRDefault="00AA464C" w:rsidP="00AA464C">
            <w:pPr>
              <w:jc w:val="right"/>
              <w:rPr>
                <w:rFonts w:ascii="Arial" w:hAnsi="Arial" w:cs="Arial"/>
                <w:color w:val="000000"/>
                <w:sz w:val="16"/>
                <w:szCs w:val="16"/>
                <w:lang w:eastAsia="en-CA"/>
              </w:rPr>
            </w:pPr>
          </w:p>
        </w:tc>
      </w:tr>
      <w:tr w:rsidR="00AA464C" w:rsidRPr="00926689" w14:paraId="257A204C" w14:textId="77777777" w:rsidTr="000F431E">
        <w:trPr>
          <w:trHeight w:hRule="exact" w:val="247"/>
        </w:trPr>
        <w:tc>
          <w:tcPr>
            <w:tcW w:w="4446" w:type="dxa"/>
            <w:tcBorders>
              <w:top w:val="nil"/>
              <w:left w:val="nil"/>
              <w:bottom w:val="nil"/>
              <w:right w:val="nil"/>
            </w:tcBorders>
            <w:shd w:val="clear" w:color="auto" w:fill="auto"/>
            <w:vAlign w:val="center"/>
          </w:tcPr>
          <w:p w14:paraId="6D0128C4" w14:textId="34346B24" w:rsidR="00AA464C" w:rsidRPr="001668F0" w:rsidRDefault="00AA464C" w:rsidP="00AA464C">
            <w:pPr>
              <w:rPr>
                <w:rFonts w:ascii="Arial" w:hAnsi="Arial" w:cs="Arial"/>
                <w:sz w:val="16"/>
                <w:szCs w:val="16"/>
                <w:lang w:eastAsia="en-CA"/>
              </w:rPr>
            </w:pPr>
            <w:r w:rsidRPr="001668F0">
              <w:rPr>
                <w:rFonts w:ascii="Arial" w:hAnsi="Arial" w:cs="Arial"/>
                <w:sz w:val="16"/>
                <w:szCs w:val="16"/>
                <w:lang w:eastAsia="en-CA"/>
              </w:rPr>
              <w:t>Statutory rates</w:t>
            </w:r>
          </w:p>
        </w:tc>
        <w:tc>
          <w:tcPr>
            <w:tcW w:w="1843" w:type="dxa"/>
            <w:tcBorders>
              <w:top w:val="nil"/>
              <w:left w:val="nil"/>
              <w:bottom w:val="nil"/>
              <w:right w:val="nil"/>
            </w:tcBorders>
            <w:shd w:val="clear" w:color="auto" w:fill="auto"/>
            <w:vAlign w:val="center"/>
          </w:tcPr>
          <w:p w14:paraId="6085E6E1" w14:textId="5E19D790" w:rsidR="00AA464C" w:rsidRPr="00DF5145" w:rsidRDefault="00AA464C" w:rsidP="00AA464C">
            <w:pPr>
              <w:jc w:val="right"/>
              <w:rPr>
                <w:rFonts w:ascii="Arial" w:hAnsi="Arial"/>
                <w:b/>
                <w:sz w:val="16"/>
              </w:rPr>
            </w:pPr>
            <w:r w:rsidRPr="00DF5145">
              <w:rPr>
                <w:rFonts w:ascii="Arial" w:hAnsi="Arial"/>
                <w:b/>
                <w:sz w:val="16"/>
              </w:rPr>
              <w:t>26.50%</w:t>
            </w:r>
          </w:p>
        </w:tc>
        <w:tc>
          <w:tcPr>
            <w:tcW w:w="1735" w:type="dxa"/>
            <w:tcBorders>
              <w:top w:val="nil"/>
              <w:left w:val="nil"/>
              <w:bottom w:val="nil"/>
              <w:right w:val="nil"/>
            </w:tcBorders>
            <w:shd w:val="clear" w:color="auto" w:fill="auto"/>
            <w:noWrap/>
            <w:vAlign w:val="center"/>
          </w:tcPr>
          <w:p w14:paraId="0BF7335D" w14:textId="1C2A8B46" w:rsidR="00AA464C" w:rsidRPr="001668F0" w:rsidRDefault="00AA464C" w:rsidP="00AA464C">
            <w:pPr>
              <w:jc w:val="right"/>
              <w:rPr>
                <w:rFonts w:ascii="Arial" w:hAnsi="Arial" w:cs="Arial"/>
                <w:color w:val="000000"/>
                <w:sz w:val="16"/>
                <w:szCs w:val="16"/>
                <w:lang w:eastAsia="en-CA"/>
              </w:rPr>
            </w:pPr>
            <w:r w:rsidRPr="001668F0">
              <w:rPr>
                <w:rFonts w:ascii="Arial" w:hAnsi="Arial" w:cs="Arial"/>
                <w:color w:val="000000"/>
                <w:sz w:val="16"/>
                <w:szCs w:val="16"/>
                <w:lang w:eastAsia="en-CA"/>
              </w:rPr>
              <w:t>26.50 %</w:t>
            </w:r>
          </w:p>
        </w:tc>
      </w:tr>
      <w:tr w:rsidR="00AA464C" w:rsidRPr="00926689" w14:paraId="6FA596AB" w14:textId="77777777" w:rsidTr="000F431E">
        <w:trPr>
          <w:trHeight w:hRule="exact" w:val="247"/>
        </w:trPr>
        <w:tc>
          <w:tcPr>
            <w:tcW w:w="4446" w:type="dxa"/>
            <w:tcBorders>
              <w:top w:val="nil"/>
              <w:left w:val="nil"/>
              <w:bottom w:val="nil"/>
              <w:right w:val="nil"/>
            </w:tcBorders>
            <w:shd w:val="clear" w:color="auto" w:fill="auto"/>
            <w:vAlign w:val="center"/>
          </w:tcPr>
          <w:p w14:paraId="736B92F4" w14:textId="398DEE09" w:rsidR="00AA464C" w:rsidRPr="001668F0" w:rsidRDefault="00AA464C" w:rsidP="00AA464C">
            <w:pPr>
              <w:rPr>
                <w:rFonts w:ascii="Arial" w:hAnsi="Arial" w:cs="Arial"/>
                <w:sz w:val="16"/>
                <w:szCs w:val="16"/>
                <w:lang w:eastAsia="en-CA"/>
              </w:rPr>
            </w:pPr>
            <w:r w:rsidRPr="001668F0">
              <w:rPr>
                <w:rFonts w:ascii="Arial" w:hAnsi="Arial" w:cs="Arial"/>
                <w:sz w:val="16"/>
                <w:szCs w:val="16"/>
                <w:lang w:eastAsia="en-CA"/>
              </w:rPr>
              <w:t>Income tax recovery computed at statutory rates</w:t>
            </w:r>
          </w:p>
        </w:tc>
        <w:tc>
          <w:tcPr>
            <w:tcW w:w="1843" w:type="dxa"/>
            <w:tcBorders>
              <w:top w:val="nil"/>
              <w:left w:val="nil"/>
              <w:bottom w:val="nil"/>
              <w:right w:val="nil"/>
            </w:tcBorders>
            <w:shd w:val="clear" w:color="auto" w:fill="auto"/>
            <w:vAlign w:val="center"/>
          </w:tcPr>
          <w:p w14:paraId="00F18352" w14:textId="16237BB3" w:rsidR="00AA464C" w:rsidRPr="00DF5145" w:rsidRDefault="00AA464C" w:rsidP="00AA464C">
            <w:pPr>
              <w:jc w:val="right"/>
              <w:rPr>
                <w:rFonts w:ascii="Arial" w:hAnsi="Arial"/>
                <w:b/>
                <w:sz w:val="16"/>
              </w:rPr>
            </w:pPr>
            <w:r w:rsidRPr="00DF5145">
              <w:rPr>
                <w:rFonts w:ascii="Arial" w:hAnsi="Arial"/>
                <w:b/>
                <w:sz w:val="16"/>
              </w:rPr>
              <w:t>(</w:t>
            </w:r>
            <w:r w:rsidR="00BB2443">
              <w:rPr>
                <w:rFonts w:ascii="Arial" w:hAnsi="Arial"/>
                <w:b/>
                <w:sz w:val="16"/>
              </w:rPr>
              <w:t>7</w:t>
            </w:r>
            <w:r w:rsidR="005D16C4">
              <w:rPr>
                <w:rFonts w:ascii="Arial" w:hAnsi="Arial"/>
                <w:b/>
                <w:sz w:val="16"/>
              </w:rPr>
              <w:t>43,644</w:t>
            </w:r>
            <w:r w:rsidRPr="00DF5145">
              <w:rPr>
                <w:rFonts w:ascii="Arial" w:hAnsi="Arial"/>
                <w:b/>
                <w:sz w:val="16"/>
              </w:rPr>
              <w:t>)</w:t>
            </w:r>
          </w:p>
        </w:tc>
        <w:tc>
          <w:tcPr>
            <w:tcW w:w="1735" w:type="dxa"/>
            <w:tcBorders>
              <w:top w:val="nil"/>
              <w:left w:val="nil"/>
              <w:bottom w:val="nil"/>
              <w:right w:val="nil"/>
            </w:tcBorders>
            <w:shd w:val="clear" w:color="auto" w:fill="auto"/>
            <w:noWrap/>
            <w:vAlign w:val="center"/>
          </w:tcPr>
          <w:p w14:paraId="4C478AD3" w14:textId="5CA92A46" w:rsidR="00AA464C" w:rsidRPr="001668F0" w:rsidRDefault="00AA464C" w:rsidP="00AA464C">
            <w:pPr>
              <w:jc w:val="right"/>
              <w:rPr>
                <w:rFonts w:ascii="Arial" w:hAnsi="Arial" w:cs="Arial"/>
                <w:color w:val="000000"/>
                <w:sz w:val="16"/>
                <w:szCs w:val="16"/>
                <w:lang w:eastAsia="en-CA"/>
              </w:rPr>
            </w:pPr>
            <w:r w:rsidRPr="001668F0">
              <w:rPr>
                <w:rFonts w:ascii="Arial" w:hAnsi="Arial" w:cs="Arial"/>
                <w:color w:val="000000"/>
                <w:sz w:val="16"/>
                <w:szCs w:val="16"/>
                <w:lang w:eastAsia="en-CA"/>
              </w:rPr>
              <w:t>(</w:t>
            </w:r>
            <w:r w:rsidR="00B25BE6" w:rsidRPr="001668F0">
              <w:rPr>
                <w:rFonts w:ascii="Arial" w:hAnsi="Arial" w:cs="Arial"/>
                <w:color w:val="000000"/>
                <w:sz w:val="16"/>
                <w:szCs w:val="16"/>
                <w:lang w:eastAsia="en-CA"/>
              </w:rPr>
              <w:t>712,145</w:t>
            </w:r>
            <w:r w:rsidRPr="001668F0">
              <w:rPr>
                <w:rFonts w:ascii="Arial" w:hAnsi="Arial" w:cs="Arial"/>
                <w:color w:val="000000"/>
                <w:sz w:val="16"/>
                <w:szCs w:val="16"/>
                <w:lang w:eastAsia="en-CA"/>
              </w:rPr>
              <w:t>)</w:t>
            </w:r>
          </w:p>
        </w:tc>
      </w:tr>
      <w:tr w:rsidR="00AA464C" w:rsidRPr="00926689" w14:paraId="4897558F" w14:textId="77777777" w:rsidTr="000F431E">
        <w:trPr>
          <w:trHeight w:hRule="exact" w:val="247"/>
        </w:trPr>
        <w:tc>
          <w:tcPr>
            <w:tcW w:w="4446" w:type="dxa"/>
            <w:tcBorders>
              <w:top w:val="nil"/>
              <w:left w:val="nil"/>
              <w:bottom w:val="nil"/>
              <w:right w:val="nil"/>
            </w:tcBorders>
            <w:shd w:val="clear" w:color="auto" w:fill="auto"/>
            <w:vAlign w:val="center"/>
          </w:tcPr>
          <w:p w14:paraId="6BE92D23" w14:textId="1A6B2330" w:rsidR="00AA464C" w:rsidRPr="001668F0" w:rsidRDefault="00AA464C" w:rsidP="00AA464C">
            <w:pPr>
              <w:rPr>
                <w:rFonts w:ascii="Arial" w:hAnsi="Arial" w:cs="Arial"/>
                <w:sz w:val="16"/>
                <w:szCs w:val="16"/>
                <w:lang w:eastAsia="en-CA"/>
              </w:rPr>
            </w:pPr>
            <w:r w:rsidRPr="001668F0">
              <w:rPr>
                <w:rFonts w:ascii="Arial" w:hAnsi="Arial" w:cs="Arial"/>
                <w:sz w:val="16"/>
                <w:szCs w:val="16"/>
                <w:lang w:eastAsia="en-CA"/>
              </w:rPr>
              <w:t>Non-deductible items</w:t>
            </w:r>
          </w:p>
        </w:tc>
        <w:tc>
          <w:tcPr>
            <w:tcW w:w="1843" w:type="dxa"/>
            <w:tcBorders>
              <w:top w:val="nil"/>
              <w:left w:val="nil"/>
              <w:bottom w:val="nil"/>
              <w:right w:val="nil"/>
            </w:tcBorders>
            <w:shd w:val="clear" w:color="auto" w:fill="auto"/>
            <w:vAlign w:val="center"/>
          </w:tcPr>
          <w:p w14:paraId="6B758F73" w14:textId="0E63795D" w:rsidR="00AA464C" w:rsidRPr="00DF5145" w:rsidRDefault="00220828" w:rsidP="00AA464C">
            <w:pPr>
              <w:jc w:val="right"/>
              <w:rPr>
                <w:rFonts w:ascii="Arial" w:hAnsi="Arial"/>
                <w:b/>
                <w:sz w:val="16"/>
              </w:rPr>
            </w:pPr>
            <w:r>
              <w:rPr>
                <w:rFonts w:ascii="Arial" w:hAnsi="Arial"/>
                <w:b/>
                <w:sz w:val="16"/>
              </w:rPr>
              <w:t>89,835</w:t>
            </w:r>
          </w:p>
        </w:tc>
        <w:tc>
          <w:tcPr>
            <w:tcW w:w="1735" w:type="dxa"/>
            <w:tcBorders>
              <w:top w:val="nil"/>
              <w:left w:val="nil"/>
              <w:bottom w:val="nil"/>
              <w:right w:val="nil"/>
            </w:tcBorders>
            <w:shd w:val="clear" w:color="auto" w:fill="auto"/>
            <w:noWrap/>
            <w:vAlign w:val="center"/>
          </w:tcPr>
          <w:p w14:paraId="180D12CF" w14:textId="571AFD4E" w:rsidR="00AA464C" w:rsidRPr="001668F0" w:rsidRDefault="00A92AF7" w:rsidP="00AA464C">
            <w:pPr>
              <w:jc w:val="right"/>
              <w:rPr>
                <w:rFonts w:ascii="Arial" w:hAnsi="Arial" w:cs="Arial"/>
                <w:color w:val="000000"/>
                <w:sz w:val="16"/>
                <w:szCs w:val="16"/>
                <w:lang w:eastAsia="en-CA"/>
              </w:rPr>
            </w:pPr>
            <w:r w:rsidRPr="001668F0">
              <w:rPr>
                <w:rFonts w:ascii="Arial" w:hAnsi="Arial" w:cs="Arial"/>
                <w:color w:val="000000"/>
                <w:sz w:val="16"/>
                <w:szCs w:val="16"/>
                <w:lang w:eastAsia="en-CA"/>
              </w:rPr>
              <w:t>9</w:t>
            </w:r>
            <w:r w:rsidR="00B25BE6" w:rsidRPr="001668F0">
              <w:rPr>
                <w:rFonts w:ascii="Arial" w:hAnsi="Arial" w:cs="Arial"/>
                <w:color w:val="000000"/>
                <w:sz w:val="16"/>
                <w:szCs w:val="16"/>
                <w:lang w:eastAsia="en-CA"/>
              </w:rPr>
              <w:t>,061</w:t>
            </w:r>
          </w:p>
        </w:tc>
      </w:tr>
      <w:tr w:rsidR="00AA464C" w:rsidRPr="00926689" w14:paraId="2257CC0C" w14:textId="77777777" w:rsidTr="000F431E">
        <w:trPr>
          <w:trHeight w:hRule="exact" w:val="247"/>
        </w:trPr>
        <w:tc>
          <w:tcPr>
            <w:tcW w:w="4446" w:type="dxa"/>
            <w:tcBorders>
              <w:top w:val="nil"/>
              <w:left w:val="nil"/>
              <w:right w:val="nil"/>
            </w:tcBorders>
            <w:shd w:val="clear" w:color="auto" w:fill="auto"/>
            <w:vAlign w:val="center"/>
          </w:tcPr>
          <w:p w14:paraId="0A03E7A2" w14:textId="4E54E6A5" w:rsidR="00AA464C" w:rsidRPr="001668F0" w:rsidRDefault="00220828" w:rsidP="00AA464C">
            <w:pPr>
              <w:rPr>
                <w:rFonts w:ascii="Arial" w:hAnsi="Arial" w:cs="Arial"/>
                <w:sz w:val="16"/>
                <w:szCs w:val="16"/>
                <w:lang w:eastAsia="en-CA"/>
              </w:rPr>
            </w:pPr>
            <w:r>
              <w:rPr>
                <w:rFonts w:ascii="Arial" w:hAnsi="Arial" w:cs="Arial"/>
                <w:sz w:val="16"/>
                <w:szCs w:val="16"/>
                <w:lang w:eastAsia="en-CA"/>
              </w:rPr>
              <w:t>Value of tax benefits</w:t>
            </w:r>
            <w:r w:rsidR="00C50EBB">
              <w:rPr>
                <w:rFonts w:ascii="Arial" w:hAnsi="Arial" w:cs="Arial"/>
                <w:sz w:val="16"/>
                <w:szCs w:val="16"/>
                <w:lang w:eastAsia="en-CA"/>
              </w:rPr>
              <w:t xml:space="preserve"> unrecognized</w:t>
            </w:r>
          </w:p>
        </w:tc>
        <w:tc>
          <w:tcPr>
            <w:tcW w:w="1843" w:type="dxa"/>
            <w:tcBorders>
              <w:top w:val="nil"/>
              <w:left w:val="nil"/>
              <w:right w:val="nil"/>
            </w:tcBorders>
            <w:shd w:val="clear" w:color="auto" w:fill="auto"/>
            <w:vAlign w:val="center"/>
          </w:tcPr>
          <w:p w14:paraId="52D9E52D" w14:textId="21FEC296" w:rsidR="00AA464C" w:rsidRPr="00DF5145" w:rsidRDefault="00220828" w:rsidP="00AA464C">
            <w:pPr>
              <w:jc w:val="right"/>
              <w:rPr>
                <w:rFonts w:ascii="Arial" w:hAnsi="Arial"/>
                <w:b/>
                <w:sz w:val="16"/>
              </w:rPr>
            </w:pPr>
            <w:r>
              <w:rPr>
                <w:rFonts w:ascii="Arial" w:hAnsi="Arial"/>
                <w:b/>
                <w:sz w:val="16"/>
              </w:rPr>
              <w:t>653,809</w:t>
            </w:r>
          </w:p>
        </w:tc>
        <w:tc>
          <w:tcPr>
            <w:tcW w:w="1735" w:type="dxa"/>
            <w:tcBorders>
              <w:top w:val="nil"/>
              <w:left w:val="nil"/>
              <w:right w:val="nil"/>
            </w:tcBorders>
            <w:shd w:val="clear" w:color="auto" w:fill="auto"/>
            <w:noWrap/>
            <w:vAlign w:val="center"/>
          </w:tcPr>
          <w:p w14:paraId="0C39D973" w14:textId="02BBC8E4" w:rsidR="00AA464C" w:rsidRPr="001668F0" w:rsidRDefault="00B25BE6" w:rsidP="00AA464C">
            <w:pPr>
              <w:jc w:val="right"/>
              <w:rPr>
                <w:rFonts w:ascii="Arial" w:hAnsi="Arial" w:cs="Arial"/>
                <w:color w:val="000000"/>
                <w:sz w:val="16"/>
                <w:szCs w:val="16"/>
                <w:lang w:eastAsia="en-CA"/>
              </w:rPr>
            </w:pPr>
            <w:r w:rsidRPr="001668F0">
              <w:rPr>
                <w:rFonts w:ascii="Arial" w:hAnsi="Arial" w:cs="Arial"/>
                <w:color w:val="000000"/>
                <w:sz w:val="16"/>
                <w:szCs w:val="16"/>
                <w:lang w:eastAsia="en-CA"/>
              </w:rPr>
              <w:t>699,391</w:t>
            </w:r>
          </w:p>
        </w:tc>
      </w:tr>
      <w:tr w:rsidR="00AA464C" w:rsidRPr="00926689" w14:paraId="0CB2B3F0" w14:textId="77777777" w:rsidTr="000F431E">
        <w:trPr>
          <w:trHeight w:hRule="exact" w:val="247"/>
        </w:trPr>
        <w:tc>
          <w:tcPr>
            <w:tcW w:w="4446" w:type="dxa"/>
            <w:tcBorders>
              <w:left w:val="nil"/>
              <w:bottom w:val="single" w:sz="4" w:space="0" w:color="auto"/>
              <w:right w:val="nil"/>
            </w:tcBorders>
            <w:shd w:val="clear" w:color="auto" w:fill="auto"/>
            <w:vAlign w:val="center"/>
          </w:tcPr>
          <w:p w14:paraId="12B9466A" w14:textId="49513C9A" w:rsidR="00AA464C" w:rsidRPr="001668F0" w:rsidRDefault="00AA464C" w:rsidP="00AA464C">
            <w:pPr>
              <w:rPr>
                <w:rFonts w:ascii="Arial" w:hAnsi="Arial" w:cs="Arial"/>
                <w:sz w:val="16"/>
                <w:szCs w:val="16"/>
                <w:lang w:eastAsia="en-CA"/>
              </w:rPr>
            </w:pPr>
            <w:r w:rsidRPr="001668F0">
              <w:rPr>
                <w:rFonts w:ascii="Arial" w:hAnsi="Arial" w:cs="Arial"/>
                <w:sz w:val="16"/>
                <w:szCs w:val="16"/>
                <w:lang w:eastAsia="en-CA"/>
              </w:rPr>
              <w:t>Tax refund due to change in policy</w:t>
            </w:r>
          </w:p>
        </w:tc>
        <w:tc>
          <w:tcPr>
            <w:tcW w:w="1843" w:type="dxa"/>
            <w:tcBorders>
              <w:left w:val="nil"/>
              <w:bottom w:val="single" w:sz="4" w:space="0" w:color="auto"/>
              <w:right w:val="nil"/>
            </w:tcBorders>
            <w:shd w:val="clear" w:color="auto" w:fill="auto"/>
            <w:vAlign w:val="center"/>
          </w:tcPr>
          <w:p w14:paraId="68CEFE5D" w14:textId="74828052" w:rsidR="00AA464C" w:rsidRPr="00DF5145" w:rsidRDefault="007A68BD" w:rsidP="00AA464C">
            <w:pPr>
              <w:jc w:val="right"/>
              <w:rPr>
                <w:rFonts w:ascii="Arial" w:hAnsi="Arial"/>
                <w:b/>
                <w:sz w:val="16"/>
              </w:rPr>
            </w:pPr>
            <w:r w:rsidRPr="00DF5145">
              <w:rPr>
                <w:rFonts w:ascii="Arial" w:hAnsi="Arial"/>
                <w:b/>
                <w:sz w:val="16"/>
              </w:rPr>
              <w:t>-</w:t>
            </w:r>
          </w:p>
        </w:tc>
        <w:tc>
          <w:tcPr>
            <w:tcW w:w="1735" w:type="dxa"/>
            <w:tcBorders>
              <w:left w:val="nil"/>
              <w:bottom w:val="single" w:sz="4" w:space="0" w:color="auto"/>
              <w:right w:val="nil"/>
            </w:tcBorders>
            <w:shd w:val="clear" w:color="auto" w:fill="auto"/>
            <w:noWrap/>
            <w:vAlign w:val="center"/>
          </w:tcPr>
          <w:p w14:paraId="680115EB" w14:textId="4FF66501" w:rsidR="00AA464C" w:rsidRPr="001668F0" w:rsidRDefault="00A92AF7" w:rsidP="00AA464C">
            <w:pPr>
              <w:jc w:val="right"/>
              <w:rPr>
                <w:rFonts w:ascii="Arial" w:hAnsi="Arial" w:cs="Arial"/>
                <w:color w:val="000000"/>
                <w:sz w:val="16"/>
                <w:szCs w:val="16"/>
                <w:lang w:eastAsia="en-CA"/>
              </w:rPr>
            </w:pPr>
            <w:r w:rsidRPr="001668F0">
              <w:rPr>
                <w:rFonts w:ascii="Arial" w:hAnsi="Arial" w:cs="Arial"/>
                <w:color w:val="000000"/>
                <w:sz w:val="16"/>
                <w:szCs w:val="16"/>
                <w:lang w:eastAsia="en-CA"/>
              </w:rPr>
              <w:t>(</w:t>
            </w:r>
            <w:r w:rsidR="001668F0" w:rsidRPr="001668F0">
              <w:rPr>
                <w:rFonts w:ascii="Arial" w:hAnsi="Arial" w:cs="Arial"/>
                <w:color w:val="000000"/>
                <w:sz w:val="16"/>
                <w:szCs w:val="16"/>
                <w:lang w:eastAsia="en-CA"/>
              </w:rPr>
              <w:t>38,000)</w:t>
            </w:r>
          </w:p>
        </w:tc>
      </w:tr>
      <w:tr w:rsidR="00AA464C" w:rsidRPr="002E65FB" w14:paraId="18E82FB4" w14:textId="77777777" w:rsidTr="00CA088E">
        <w:trPr>
          <w:trHeight w:hRule="exact" w:val="247"/>
        </w:trPr>
        <w:tc>
          <w:tcPr>
            <w:tcW w:w="4446" w:type="dxa"/>
            <w:tcBorders>
              <w:top w:val="single" w:sz="4" w:space="0" w:color="auto"/>
              <w:left w:val="nil"/>
              <w:right w:val="nil"/>
            </w:tcBorders>
            <w:shd w:val="clear" w:color="auto" w:fill="auto"/>
            <w:vAlign w:val="center"/>
            <w:hideMark/>
          </w:tcPr>
          <w:p w14:paraId="086331CA" w14:textId="622F6220" w:rsidR="00AA464C" w:rsidRPr="001668F0" w:rsidRDefault="00AA464C" w:rsidP="00AA464C">
            <w:pPr>
              <w:rPr>
                <w:rFonts w:ascii="Arial" w:hAnsi="Arial" w:cs="Arial"/>
                <w:color w:val="000000"/>
                <w:sz w:val="16"/>
                <w:szCs w:val="16"/>
                <w:lang w:eastAsia="en-CA"/>
              </w:rPr>
            </w:pPr>
            <w:r w:rsidRPr="001668F0">
              <w:rPr>
                <w:rFonts w:ascii="Arial" w:hAnsi="Arial" w:cs="Arial"/>
                <w:color w:val="000000"/>
                <w:sz w:val="16"/>
                <w:szCs w:val="16"/>
                <w:lang w:eastAsia="en-CA"/>
              </w:rPr>
              <w:t> Income tax expense</w:t>
            </w:r>
          </w:p>
        </w:tc>
        <w:tc>
          <w:tcPr>
            <w:tcW w:w="1843" w:type="dxa"/>
            <w:tcBorders>
              <w:top w:val="single" w:sz="4" w:space="0" w:color="auto"/>
              <w:left w:val="nil"/>
              <w:right w:val="nil"/>
            </w:tcBorders>
            <w:shd w:val="clear" w:color="auto" w:fill="auto"/>
            <w:vAlign w:val="center"/>
            <w:hideMark/>
          </w:tcPr>
          <w:p w14:paraId="6079C51C" w14:textId="72ACA46D" w:rsidR="00AA464C" w:rsidRPr="00DF5145" w:rsidRDefault="00BB2443" w:rsidP="00AA464C">
            <w:pPr>
              <w:jc w:val="right"/>
              <w:rPr>
                <w:rFonts w:ascii="Arial" w:hAnsi="Arial"/>
                <w:b/>
                <w:color w:val="000000"/>
                <w:sz w:val="16"/>
              </w:rPr>
            </w:pPr>
            <w:r>
              <w:rPr>
                <w:rFonts w:ascii="Arial" w:hAnsi="Arial"/>
                <w:b/>
                <w:color w:val="000000"/>
                <w:sz w:val="16"/>
              </w:rPr>
              <w:t>-</w:t>
            </w:r>
          </w:p>
        </w:tc>
        <w:tc>
          <w:tcPr>
            <w:tcW w:w="1735" w:type="dxa"/>
            <w:tcBorders>
              <w:top w:val="single" w:sz="4" w:space="0" w:color="auto"/>
              <w:left w:val="nil"/>
              <w:right w:val="nil"/>
            </w:tcBorders>
            <w:shd w:val="clear" w:color="auto" w:fill="auto"/>
            <w:noWrap/>
            <w:vAlign w:val="center"/>
            <w:hideMark/>
          </w:tcPr>
          <w:p w14:paraId="3A8B9BE3" w14:textId="07211F12" w:rsidR="00AA464C" w:rsidRPr="001668F0" w:rsidRDefault="00A92AF7" w:rsidP="00AA464C">
            <w:pPr>
              <w:jc w:val="right"/>
              <w:rPr>
                <w:rFonts w:ascii="Arial" w:hAnsi="Arial" w:cs="Arial"/>
                <w:color w:val="000000"/>
                <w:sz w:val="16"/>
                <w:szCs w:val="16"/>
                <w:lang w:eastAsia="en-CA"/>
              </w:rPr>
            </w:pPr>
            <w:r w:rsidRPr="001668F0">
              <w:rPr>
                <w:rFonts w:ascii="Arial" w:hAnsi="Arial" w:cs="Arial"/>
                <w:color w:val="000000"/>
                <w:sz w:val="16"/>
                <w:szCs w:val="16"/>
                <w:lang w:eastAsia="en-CA"/>
              </w:rPr>
              <w:t>(</w:t>
            </w:r>
            <w:r w:rsidR="001668F0" w:rsidRPr="001668F0">
              <w:rPr>
                <w:rFonts w:ascii="Arial" w:hAnsi="Arial" w:cs="Arial"/>
                <w:color w:val="000000"/>
                <w:sz w:val="16"/>
                <w:szCs w:val="16"/>
                <w:lang w:eastAsia="en-CA"/>
              </w:rPr>
              <w:t>38,000</w:t>
            </w:r>
            <w:r w:rsidRPr="001668F0">
              <w:rPr>
                <w:rFonts w:ascii="Arial" w:hAnsi="Arial" w:cs="Arial"/>
                <w:color w:val="000000"/>
                <w:sz w:val="16"/>
                <w:szCs w:val="16"/>
                <w:lang w:eastAsia="en-CA"/>
              </w:rPr>
              <w:t>)</w:t>
            </w:r>
          </w:p>
        </w:tc>
      </w:tr>
    </w:tbl>
    <w:p w14:paraId="2EDA7BF0" w14:textId="77777777" w:rsidR="0082349E" w:rsidRPr="00CA088E" w:rsidRDefault="0082349E" w:rsidP="00CA088E">
      <w:pPr>
        <w:autoSpaceDE w:val="0"/>
        <w:autoSpaceDN w:val="0"/>
        <w:adjustRightInd w:val="0"/>
        <w:ind w:left="851"/>
        <w:jc w:val="both"/>
        <w:rPr>
          <w:rFonts w:ascii="Arial" w:eastAsiaTheme="minorHAnsi" w:hAnsi="Arial"/>
          <w:sz w:val="16"/>
          <w:u w:val="single"/>
        </w:rPr>
      </w:pPr>
    </w:p>
    <w:p w14:paraId="5126D128" w14:textId="5DF13C71" w:rsidR="001A4AD4" w:rsidRPr="001668F0" w:rsidRDefault="001A4AD4" w:rsidP="007B2708">
      <w:pPr>
        <w:pStyle w:val="Heading3"/>
        <w:numPr>
          <w:ilvl w:val="0"/>
          <w:numId w:val="18"/>
        </w:numPr>
        <w:tabs>
          <w:tab w:val="left" w:pos="1103"/>
          <w:tab w:val="left" w:pos="9072"/>
        </w:tabs>
        <w:ind w:left="1211" w:right="509"/>
        <w:rPr>
          <w:rFonts w:ascii="Arial" w:hAnsi="Arial" w:cs="Arial"/>
          <w:b w:val="0"/>
          <w:bCs w:val="0"/>
          <w:sz w:val="16"/>
          <w:szCs w:val="16"/>
        </w:rPr>
      </w:pPr>
      <w:r w:rsidRPr="001668F0">
        <w:rPr>
          <w:rFonts w:ascii="Arial" w:hAnsi="Arial" w:cs="Arial"/>
          <w:b w:val="0"/>
          <w:bCs w:val="0"/>
          <w:sz w:val="16"/>
          <w:szCs w:val="16"/>
        </w:rPr>
        <w:t>Deferred tax assets not recognized</w:t>
      </w:r>
    </w:p>
    <w:p w14:paraId="0AA8A42E" w14:textId="02AF261F" w:rsidR="001A4AD4" w:rsidRPr="001668F0" w:rsidRDefault="001A4AD4" w:rsidP="005C0E14">
      <w:pPr>
        <w:pStyle w:val="Heading3"/>
        <w:tabs>
          <w:tab w:val="left" w:pos="1103"/>
          <w:tab w:val="left" w:pos="9072"/>
        </w:tabs>
        <w:ind w:left="851" w:right="509" w:hanging="8"/>
        <w:rPr>
          <w:rFonts w:ascii="Arial" w:hAnsi="Arial" w:cs="Arial"/>
          <w:b w:val="0"/>
          <w:bCs w:val="0"/>
          <w:sz w:val="16"/>
          <w:szCs w:val="16"/>
        </w:rPr>
      </w:pPr>
    </w:p>
    <w:p w14:paraId="14562996" w14:textId="4EF0C1A0" w:rsidR="001A4AD4" w:rsidRPr="001668F0" w:rsidRDefault="001A4AD4" w:rsidP="00033D76">
      <w:pPr>
        <w:pStyle w:val="Heading3"/>
        <w:tabs>
          <w:tab w:val="left" w:pos="1103"/>
          <w:tab w:val="left" w:pos="9072"/>
        </w:tabs>
        <w:ind w:left="851" w:right="509" w:firstLine="0"/>
        <w:rPr>
          <w:rFonts w:ascii="Arial" w:hAnsi="Arial" w:cs="Arial"/>
          <w:b w:val="0"/>
          <w:bCs w:val="0"/>
          <w:sz w:val="16"/>
          <w:szCs w:val="16"/>
        </w:rPr>
      </w:pPr>
      <w:r w:rsidRPr="001668F0">
        <w:rPr>
          <w:rFonts w:ascii="Arial" w:hAnsi="Arial" w:cs="Arial"/>
          <w:b w:val="0"/>
          <w:bCs w:val="0"/>
          <w:sz w:val="16"/>
          <w:szCs w:val="16"/>
        </w:rPr>
        <w:t xml:space="preserve">Management believes that it is not </w:t>
      </w:r>
      <w:r w:rsidR="00B32AFC" w:rsidRPr="001668F0">
        <w:rPr>
          <w:rFonts w:ascii="Arial" w:hAnsi="Arial" w:cs="Arial"/>
          <w:b w:val="0"/>
          <w:bCs w:val="0"/>
          <w:sz w:val="16"/>
          <w:szCs w:val="16"/>
        </w:rPr>
        <w:t>likely</w:t>
      </w:r>
      <w:r w:rsidRPr="001668F0">
        <w:rPr>
          <w:rFonts w:ascii="Arial" w:hAnsi="Arial" w:cs="Arial"/>
          <w:b w:val="0"/>
          <w:bCs w:val="0"/>
          <w:sz w:val="16"/>
          <w:szCs w:val="16"/>
        </w:rPr>
        <w:t xml:space="preserve"> </w:t>
      </w:r>
      <w:r w:rsidR="00B32AFC" w:rsidRPr="001668F0">
        <w:rPr>
          <w:rFonts w:ascii="Arial" w:hAnsi="Arial" w:cs="Arial"/>
          <w:b w:val="0"/>
          <w:bCs w:val="0"/>
          <w:sz w:val="16"/>
          <w:szCs w:val="16"/>
        </w:rPr>
        <w:t xml:space="preserve">to be </w:t>
      </w:r>
      <w:r w:rsidRPr="001668F0">
        <w:rPr>
          <w:rFonts w:ascii="Arial" w:hAnsi="Arial" w:cs="Arial"/>
          <w:b w:val="0"/>
          <w:bCs w:val="0"/>
          <w:sz w:val="16"/>
          <w:szCs w:val="16"/>
        </w:rPr>
        <w:t xml:space="preserve">sufficient taxable profits </w:t>
      </w:r>
      <w:r w:rsidR="00B32AFC" w:rsidRPr="001668F0">
        <w:rPr>
          <w:rFonts w:ascii="Arial" w:hAnsi="Arial" w:cs="Arial"/>
          <w:b w:val="0"/>
          <w:bCs w:val="0"/>
          <w:sz w:val="16"/>
          <w:szCs w:val="16"/>
        </w:rPr>
        <w:t xml:space="preserve">in the next few </w:t>
      </w:r>
      <w:r w:rsidRPr="001668F0">
        <w:rPr>
          <w:rFonts w:ascii="Arial" w:hAnsi="Arial" w:cs="Arial"/>
          <w:b w:val="0"/>
          <w:bCs w:val="0"/>
          <w:sz w:val="16"/>
          <w:szCs w:val="16"/>
        </w:rPr>
        <w:t>years to allow the benefit of the following deferred tax assets to be utilized:</w:t>
      </w:r>
    </w:p>
    <w:p w14:paraId="5932BEC6" w14:textId="77777777" w:rsidR="001A4AD4" w:rsidRPr="00926689" w:rsidRDefault="001A4AD4" w:rsidP="00E9009E">
      <w:pPr>
        <w:pStyle w:val="Heading3"/>
        <w:tabs>
          <w:tab w:val="left" w:pos="1103"/>
        </w:tabs>
        <w:rPr>
          <w:rFonts w:ascii="Arial" w:hAnsi="Arial" w:cs="Arial"/>
          <w:b w:val="0"/>
          <w:bCs w:val="0"/>
          <w:sz w:val="16"/>
          <w:szCs w:val="16"/>
          <w:highlight w:val="cyan"/>
        </w:rPr>
      </w:pPr>
    </w:p>
    <w:tbl>
      <w:tblPr>
        <w:tblW w:w="8024" w:type="dxa"/>
        <w:tblInd w:w="799" w:type="dxa"/>
        <w:tblLayout w:type="fixed"/>
        <w:tblLook w:val="04A0" w:firstRow="1" w:lastRow="0" w:firstColumn="1" w:lastColumn="0" w:noHBand="0" w:noVBand="1"/>
      </w:tblPr>
      <w:tblGrid>
        <w:gridCol w:w="4446"/>
        <w:gridCol w:w="1843"/>
        <w:gridCol w:w="1735"/>
      </w:tblGrid>
      <w:tr w:rsidR="001A4AD4" w:rsidRPr="00926689" w14:paraId="5C46A1C9" w14:textId="77777777" w:rsidTr="00AB42F3">
        <w:trPr>
          <w:trHeight w:val="221"/>
        </w:trPr>
        <w:tc>
          <w:tcPr>
            <w:tcW w:w="4446" w:type="dxa"/>
            <w:tcBorders>
              <w:top w:val="nil"/>
              <w:left w:val="nil"/>
              <w:bottom w:val="single" w:sz="8" w:space="0" w:color="000000" w:themeColor="text1"/>
              <w:right w:val="nil"/>
            </w:tcBorders>
            <w:shd w:val="clear" w:color="auto" w:fill="auto"/>
            <w:hideMark/>
          </w:tcPr>
          <w:p w14:paraId="0ACDAA91" w14:textId="77777777" w:rsidR="001A4AD4" w:rsidRPr="00926689" w:rsidRDefault="001A4AD4" w:rsidP="002D20D4">
            <w:pPr>
              <w:tabs>
                <w:tab w:val="left" w:pos="720"/>
              </w:tabs>
              <w:rPr>
                <w:rFonts w:ascii="Arial" w:hAnsi="Arial" w:cs="Arial"/>
                <w:color w:val="000000"/>
                <w:sz w:val="16"/>
                <w:szCs w:val="16"/>
                <w:highlight w:val="cyan"/>
                <w:lang w:eastAsia="en-CA"/>
              </w:rPr>
            </w:pPr>
          </w:p>
        </w:tc>
        <w:tc>
          <w:tcPr>
            <w:tcW w:w="1843" w:type="dxa"/>
            <w:tcBorders>
              <w:top w:val="nil"/>
              <w:left w:val="nil"/>
              <w:bottom w:val="single" w:sz="8" w:space="0" w:color="000000" w:themeColor="text1"/>
              <w:right w:val="nil"/>
            </w:tcBorders>
            <w:shd w:val="clear" w:color="auto" w:fill="auto"/>
            <w:hideMark/>
          </w:tcPr>
          <w:p w14:paraId="0F154117" w14:textId="7541FD88" w:rsidR="001A4AD4" w:rsidRPr="00DF5145" w:rsidRDefault="001A4AD4" w:rsidP="002D20D4">
            <w:pPr>
              <w:jc w:val="right"/>
              <w:rPr>
                <w:rFonts w:ascii="Arial" w:hAnsi="Arial" w:cs="Arial"/>
                <w:b/>
                <w:bCs/>
                <w:sz w:val="16"/>
                <w:szCs w:val="16"/>
                <w:lang w:eastAsia="en-CA"/>
              </w:rPr>
            </w:pPr>
            <w:r w:rsidRPr="00DF5145">
              <w:rPr>
                <w:rFonts w:ascii="Arial" w:hAnsi="Arial" w:cs="Arial"/>
                <w:b/>
                <w:bCs/>
                <w:sz w:val="16"/>
                <w:szCs w:val="16"/>
                <w:lang w:eastAsia="en-CA"/>
              </w:rPr>
              <w:t>202</w:t>
            </w:r>
            <w:r w:rsidR="001668F0" w:rsidRPr="00DF5145">
              <w:rPr>
                <w:rFonts w:ascii="Arial" w:hAnsi="Arial" w:cs="Arial"/>
                <w:b/>
                <w:bCs/>
                <w:sz w:val="16"/>
                <w:szCs w:val="16"/>
                <w:lang w:eastAsia="en-CA"/>
              </w:rPr>
              <w:t>3</w:t>
            </w:r>
            <w:r w:rsidRPr="00DF5145">
              <w:rPr>
                <w:rFonts w:ascii="Arial" w:hAnsi="Arial" w:cs="Arial"/>
                <w:b/>
                <w:bCs/>
                <w:sz w:val="16"/>
                <w:szCs w:val="16"/>
                <w:lang w:eastAsia="en-CA"/>
              </w:rPr>
              <w:br/>
              <w:t>$</w:t>
            </w:r>
          </w:p>
        </w:tc>
        <w:tc>
          <w:tcPr>
            <w:tcW w:w="1735" w:type="dxa"/>
            <w:tcBorders>
              <w:top w:val="nil"/>
              <w:left w:val="nil"/>
              <w:bottom w:val="single" w:sz="8" w:space="0" w:color="000000" w:themeColor="text1"/>
              <w:right w:val="nil"/>
            </w:tcBorders>
            <w:shd w:val="clear" w:color="auto" w:fill="auto"/>
            <w:hideMark/>
          </w:tcPr>
          <w:p w14:paraId="3D6EBC9D" w14:textId="641E6D9C" w:rsidR="001A4AD4" w:rsidRPr="001668F0" w:rsidRDefault="001A4AD4" w:rsidP="002D20D4">
            <w:pPr>
              <w:jc w:val="right"/>
              <w:rPr>
                <w:rFonts w:ascii="Arial" w:hAnsi="Arial" w:cs="Arial"/>
                <w:color w:val="000000"/>
                <w:sz w:val="16"/>
                <w:szCs w:val="16"/>
                <w:lang w:eastAsia="en-CA"/>
              </w:rPr>
            </w:pPr>
            <w:r w:rsidRPr="001668F0">
              <w:rPr>
                <w:rFonts w:ascii="Arial" w:hAnsi="Arial" w:cs="Arial"/>
                <w:color w:val="000000"/>
                <w:sz w:val="16"/>
                <w:szCs w:val="16"/>
                <w:lang w:eastAsia="en-CA"/>
              </w:rPr>
              <w:t>20</w:t>
            </w:r>
            <w:r w:rsidR="00A92AF7" w:rsidRPr="001668F0">
              <w:rPr>
                <w:rFonts w:ascii="Arial" w:hAnsi="Arial" w:cs="Arial"/>
                <w:color w:val="000000"/>
                <w:sz w:val="16"/>
                <w:szCs w:val="16"/>
                <w:lang w:eastAsia="en-CA"/>
              </w:rPr>
              <w:t>2</w:t>
            </w:r>
            <w:r w:rsidR="001668F0" w:rsidRPr="001668F0">
              <w:rPr>
                <w:rFonts w:ascii="Arial" w:hAnsi="Arial" w:cs="Arial"/>
                <w:color w:val="000000"/>
                <w:sz w:val="16"/>
                <w:szCs w:val="16"/>
                <w:lang w:eastAsia="en-CA"/>
              </w:rPr>
              <w:t>2</w:t>
            </w:r>
            <w:r w:rsidRPr="001668F0">
              <w:rPr>
                <w:rFonts w:ascii="Arial" w:hAnsi="Arial" w:cs="Arial"/>
                <w:color w:val="000000"/>
                <w:sz w:val="16"/>
                <w:szCs w:val="16"/>
                <w:lang w:eastAsia="en-CA"/>
              </w:rPr>
              <w:br/>
              <w:t>$</w:t>
            </w:r>
          </w:p>
        </w:tc>
      </w:tr>
      <w:tr w:rsidR="00DE7C74" w:rsidRPr="00926689" w14:paraId="1C990EF7" w14:textId="77777777" w:rsidTr="00CA088E">
        <w:trPr>
          <w:trHeight w:hRule="exact" w:val="247"/>
        </w:trPr>
        <w:tc>
          <w:tcPr>
            <w:tcW w:w="4446" w:type="dxa"/>
            <w:tcBorders>
              <w:top w:val="single" w:sz="8" w:space="0" w:color="000000" w:themeColor="text1"/>
              <w:left w:val="nil"/>
              <w:bottom w:val="nil"/>
              <w:right w:val="nil"/>
            </w:tcBorders>
            <w:shd w:val="clear" w:color="auto" w:fill="auto"/>
            <w:vAlign w:val="center"/>
            <w:hideMark/>
          </w:tcPr>
          <w:p w14:paraId="1CB97231" w14:textId="511E93D6" w:rsidR="00DE7C74" w:rsidRPr="001668F0" w:rsidRDefault="00DE7C74" w:rsidP="00DE7C74">
            <w:pPr>
              <w:rPr>
                <w:rFonts w:ascii="Arial" w:hAnsi="Arial" w:cs="Arial"/>
                <w:sz w:val="16"/>
                <w:szCs w:val="16"/>
                <w:lang w:eastAsia="en-CA"/>
              </w:rPr>
            </w:pPr>
            <w:r w:rsidRPr="001668F0">
              <w:rPr>
                <w:rFonts w:ascii="Arial" w:hAnsi="Arial" w:cs="Arial"/>
                <w:sz w:val="16"/>
                <w:szCs w:val="16"/>
                <w:lang w:eastAsia="en-CA"/>
              </w:rPr>
              <w:t>Non - capital losses</w:t>
            </w:r>
          </w:p>
        </w:tc>
        <w:tc>
          <w:tcPr>
            <w:tcW w:w="1843" w:type="dxa"/>
            <w:tcBorders>
              <w:top w:val="single" w:sz="8" w:space="0" w:color="000000" w:themeColor="text1"/>
              <w:left w:val="nil"/>
              <w:bottom w:val="nil"/>
              <w:right w:val="nil"/>
            </w:tcBorders>
            <w:shd w:val="clear" w:color="auto" w:fill="auto"/>
            <w:vAlign w:val="center"/>
            <w:hideMark/>
          </w:tcPr>
          <w:p w14:paraId="115E70EF" w14:textId="51FFE208" w:rsidR="00DE7C74" w:rsidRPr="00DF5145" w:rsidRDefault="0073768D" w:rsidP="00DE7C74">
            <w:pPr>
              <w:jc w:val="right"/>
              <w:rPr>
                <w:rFonts w:ascii="Arial" w:hAnsi="Arial"/>
                <w:b/>
                <w:sz w:val="16"/>
              </w:rPr>
            </w:pPr>
            <w:r>
              <w:rPr>
                <w:rFonts w:ascii="Arial" w:hAnsi="Arial"/>
                <w:b/>
                <w:sz w:val="16"/>
              </w:rPr>
              <w:t>5,720,710</w:t>
            </w:r>
          </w:p>
        </w:tc>
        <w:tc>
          <w:tcPr>
            <w:tcW w:w="1735" w:type="dxa"/>
            <w:tcBorders>
              <w:top w:val="single" w:sz="8" w:space="0" w:color="000000" w:themeColor="text1"/>
              <w:left w:val="nil"/>
              <w:bottom w:val="nil"/>
              <w:right w:val="nil"/>
            </w:tcBorders>
            <w:shd w:val="clear" w:color="auto" w:fill="auto"/>
            <w:noWrap/>
            <w:vAlign w:val="center"/>
            <w:hideMark/>
          </w:tcPr>
          <w:p w14:paraId="6F1F3DF7" w14:textId="773EEB04" w:rsidR="00DE7C74" w:rsidRPr="001668F0" w:rsidRDefault="00A92AF7" w:rsidP="00DE7C74">
            <w:pPr>
              <w:jc w:val="right"/>
              <w:rPr>
                <w:rFonts w:ascii="Arial" w:hAnsi="Arial" w:cs="Arial"/>
                <w:color w:val="000000"/>
                <w:sz w:val="16"/>
                <w:szCs w:val="16"/>
                <w:lang w:eastAsia="en-CA"/>
              </w:rPr>
            </w:pPr>
            <w:r w:rsidRPr="001668F0">
              <w:rPr>
                <w:rFonts w:ascii="Arial" w:hAnsi="Arial" w:cs="Arial"/>
                <w:color w:val="000000"/>
                <w:sz w:val="16"/>
                <w:szCs w:val="16"/>
                <w:lang w:eastAsia="en-CA"/>
              </w:rPr>
              <w:t>5</w:t>
            </w:r>
            <w:r w:rsidR="00F54011">
              <w:rPr>
                <w:rFonts w:ascii="Arial" w:hAnsi="Arial" w:cs="Arial"/>
                <w:color w:val="000000"/>
                <w:sz w:val="16"/>
                <w:szCs w:val="16"/>
                <w:lang w:eastAsia="en-CA"/>
              </w:rPr>
              <w:t>,</w:t>
            </w:r>
            <w:r w:rsidR="001668F0" w:rsidRPr="001668F0">
              <w:rPr>
                <w:rFonts w:ascii="Arial" w:hAnsi="Arial" w:cs="Arial"/>
                <w:color w:val="000000"/>
                <w:sz w:val="16"/>
                <w:szCs w:val="16"/>
                <w:lang w:eastAsia="en-CA"/>
              </w:rPr>
              <w:t>188,383</w:t>
            </w:r>
          </w:p>
        </w:tc>
      </w:tr>
      <w:tr w:rsidR="00DE7C74" w:rsidRPr="00926689" w14:paraId="724F0C43" w14:textId="77777777" w:rsidTr="004A4E1A">
        <w:trPr>
          <w:trHeight w:hRule="exact" w:val="247"/>
        </w:trPr>
        <w:tc>
          <w:tcPr>
            <w:tcW w:w="4446" w:type="dxa"/>
            <w:tcBorders>
              <w:top w:val="nil"/>
              <w:left w:val="nil"/>
              <w:right w:val="nil"/>
            </w:tcBorders>
            <w:shd w:val="clear" w:color="auto" w:fill="auto"/>
            <w:vAlign w:val="center"/>
          </w:tcPr>
          <w:p w14:paraId="74745F0E" w14:textId="66643CAD" w:rsidR="00DE7C74" w:rsidRPr="001668F0" w:rsidRDefault="00DE7C74" w:rsidP="00DE7C74">
            <w:pPr>
              <w:rPr>
                <w:rFonts w:ascii="Arial" w:hAnsi="Arial" w:cs="Arial"/>
                <w:sz w:val="16"/>
                <w:szCs w:val="16"/>
                <w:lang w:eastAsia="en-CA"/>
              </w:rPr>
            </w:pPr>
            <w:r w:rsidRPr="001668F0">
              <w:rPr>
                <w:rFonts w:ascii="Arial" w:hAnsi="Arial" w:cs="Arial"/>
                <w:sz w:val="16"/>
                <w:szCs w:val="16"/>
                <w:lang w:eastAsia="en-CA"/>
              </w:rPr>
              <w:t>Equipment and leaseholds</w:t>
            </w:r>
          </w:p>
        </w:tc>
        <w:tc>
          <w:tcPr>
            <w:tcW w:w="1843" w:type="dxa"/>
            <w:tcBorders>
              <w:top w:val="nil"/>
              <w:left w:val="nil"/>
              <w:right w:val="nil"/>
            </w:tcBorders>
            <w:shd w:val="clear" w:color="auto" w:fill="auto"/>
            <w:vAlign w:val="center"/>
          </w:tcPr>
          <w:p w14:paraId="2F6FA0B6" w14:textId="68917C48" w:rsidR="00DE7C74" w:rsidRPr="00DF5145" w:rsidRDefault="00DE7C74" w:rsidP="00DE7C74">
            <w:pPr>
              <w:jc w:val="right"/>
              <w:rPr>
                <w:rFonts w:ascii="Arial" w:hAnsi="Arial"/>
                <w:b/>
                <w:sz w:val="16"/>
              </w:rPr>
            </w:pPr>
            <w:r w:rsidRPr="00DF5145">
              <w:rPr>
                <w:rFonts w:ascii="Arial" w:hAnsi="Arial"/>
                <w:b/>
                <w:sz w:val="16"/>
              </w:rPr>
              <w:t>33,</w:t>
            </w:r>
            <w:r w:rsidR="0073768D">
              <w:rPr>
                <w:rFonts w:ascii="Arial" w:hAnsi="Arial"/>
                <w:b/>
                <w:sz w:val="16"/>
              </w:rPr>
              <w:t>902</w:t>
            </w:r>
          </w:p>
        </w:tc>
        <w:tc>
          <w:tcPr>
            <w:tcW w:w="1735" w:type="dxa"/>
            <w:tcBorders>
              <w:top w:val="nil"/>
              <w:left w:val="nil"/>
              <w:right w:val="nil"/>
            </w:tcBorders>
            <w:shd w:val="clear" w:color="auto" w:fill="auto"/>
            <w:noWrap/>
            <w:vAlign w:val="center"/>
          </w:tcPr>
          <w:p w14:paraId="68752D12" w14:textId="6B777E96" w:rsidR="00DE7C74" w:rsidRPr="001668F0" w:rsidRDefault="00DE7C74" w:rsidP="00DE7C74">
            <w:pPr>
              <w:jc w:val="right"/>
              <w:rPr>
                <w:rFonts w:ascii="Arial" w:hAnsi="Arial" w:cs="Arial"/>
                <w:sz w:val="16"/>
                <w:szCs w:val="16"/>
                <w:lang w:eastAsia="en-CA"/>
              </w:rPr>
            </w:pPr>
            <w:r w:rsidRPr="001668F0">
              <w:rPr>
                <w:rFonts w:ascii="Arial" w:hAnsi="Arial" w:cs="Arial"/>
                <w:sz w:val="16"/>
                <w:szCs w:val="16"/>
                <w:lang w:eastAsia="en-CA"/>
              </w:rPr>
              <w:t>3</w:t>
            </w:r>
            <w:r w:rsidR="001668F0" w:rsidRPr="001668F0">
              <w:rPr>
                <w:rFonts w:ascii="Arial" w:hAnsi="Arial" w:cs="Arial"/>
                <w:sz w:val="16"/>
                <w:szCs w:val="16"/>
                <w:lang w:eastAsia="en-CA"/>
              </w:rPr>
              <w:t>3,863</w:t>
            </w:r>
          </w:p>
        </w:tc>
      </w:tr>
      <w:tr w:rsidR="00DE7C74" w:rsidRPr="00926689" w14:paraId="0402A44B" w14:textId="77777777" w:rsidTr="00CA088E">
        <w:trPr>
          <w:trHeight w:hRule="exact" w:val="247"/>
        </w:trPr>
        <w:tc>
          <w:tcPr>
            <w:tcW w:w="4446" w:type="dxa"/>
            <w:tcBorders>
              <w:top w:val="nil"/>
              <w:left w:val="nil"/>
              <w:bottom w:val="single" w:sz="12" w:space="0" w:color="auto"/>
              <w:right w:val="nil"/>
            </w:tcBorders>
            <w:shd w:val="clear" w:color="auto" w:fill="auto"/>
            <w:vAlign w:val="center"/>
          </w:tcPr>
          <w:p w14:paraId="5D9668CA" w14:textId="7B67E824" w:rsidR="00DE7C74" w:rsidRPr="001668F0" w:rsidRDefault="00DE7C74" w:rsidP="00DE7C74">
            <w:pPr>
              <w:rPr>
                <w:rFonts w:ascii="Arial" w:hAnsi="Arial" w:cs="Arial"/>
                <w:sz w:val="16"/>
                <w:szCs w:val="16"/>
                <w:lang w:eastAsia="en-CA"/>
              </w:rPr>
            </w:pPr>
            <w:r w:rsidRPr="001668F0">
              <w:rPr>
                <w:rFonts w:ascii="Arial" w:hAnsi="Arial" w:cs="Arial"/>
                <w:sz w:val="16"/>
                <w:szCs w:val="16"/>
                <w:lang w:eastAsia="en-CA"/>
              </w:rPr>
              <w:t>Exploration and evaluation</w:t>
            </w:r>
          </w:p>
        </w:tc>
        <w:tc>
          <w:tcPr>
            <w:tcW w:w="1843" w:type="dxa"/>
            <w:tcBorders>
              <w:top w:val="nil"/>
              <w:left w:val="nil"/>
              <w:bottom w:val="single" w:sz="12" w:space="0" w:color="auto"/>
              <w:right w:val="nil"/>
            </w:tcBorders>
            <w:shd w:val="clear" w:color="auto" w:fill="auto"/>
            <w:vAlign w:val="center"/>
          </w:tcPr>
          <w:p w14:paraId="6E3EF05C" w14:textId="148B183E" w:rsidR="00DE7C74" w:rsidRPr="00DF5145" w:rsidRDefault="007A68BD" w:rsidP="00DE7C74">
            <w:pPr>
              <w:jc w:val="right"/>
              <w:rPr>
                <w:rFonts w:ascii="Arial" w:hAnsi="Arial"/>
                <w:b/>
                <w:sz w:val="16"/>
              </w:rPr>
            </w:pPr>
            <w:r w:rsidRPr="00DF5145">
              <w:rPr>
                <w:rFonts w:ascii="Arial" w:hAnsi="Arial"/>
                <w:b/>
                <w:sz w:val="16"/>
              </w:rPr>
              <w:t>4,6</w:t>
            </w:r>
            <w:r w:rsidR="0073768D">
              <w:rPr>
                <w:rFonts w:ascii="Arial" w:hAnsi="Arial"/>
                <w:b/>
                <w:sz w:val="16"/>
              </w:rPr>
              <w:t>78,296</w:t>
            </w:r>
          </w:p>
        </w:tc>
        <w:tc>
          <w:tcPr>
            <w:tcW w:w="1735" w:type="dxa"/>
            <w:tcBorders>
              <w:top w:val="nil"/>
              <w:left w:val="nil"/>
              <w:bottom w:val="single" w:sz="12" w:space="0" w:color="auto"/>
              <w:right w:val="nil"/>
            </w:tcBorders>
            <w:shd w:val="clear" w:color="auto" w:fill="auto"/>
            <w:noWrap/>
            <w:vAlign w:val="center"/>
          </w:tcPr>
          <w:p w14:paraId="7F97F799" w14:textId="32E4C513" w:rsidR="00DE7C74" w:rsidRPr="001668F0" w:rsidRDefault="001668F0" w:rsidP="00DE7C74">
            <w:pPr>
              <w:jc w:val="right"/>
              <w:rPr>
                <w:rFonts w:ascii="Arial" w:hAnsi="Arial" w:cs="Arial"/>
                <w:sz w:val="16"/>
                <w:szCs w:val="16"/>
                <w:lang w:eastAsia="en-CA"/>
              </w:rPr>
            </w:pPr>
            <w:r w:rsidRPr="001668F0">
              <w:rPr>
                <w:rFonts w:ascii="Arial" w:hAnsi="Arial" w:cs="Arial"/>
                <w:sz w:val="16"/>
                <w:szCs w:val="16"/>
                <w:lang w:eastAsia="en-CA"/>
              </w:rPr>
              <w:t>5,389,205</w:t>
            </w:r>
          </w:p>
        </w:tc>
      </w:tr>
      <w:tr w:rsidR="00DE7C74" w:rsidRPr="00926689" w14:paraId="43A88FAD" w14:textId="77777777" w:rsidTr="00CA088E">
        <w:trPr>
          <w:trHeight w:hRule="exact" w:val="247"/>
        </w:trPr>
        <w:tc>
          <w:tcPr>
            <w:tcW w:w="4446" w:type="dxa"/>
            <w:tcBorders>
              <w:top w:val="single" w:sz="12" w:space="0" w:color="auto"/>
              <w:left w:val="nil"/>
              <w:right w:val="nil"/>
            </w:tcBorders>
            <w:shd w:val="clear" w:color="auto" w:fill="auto"/>
            <w:vAlign w:val="center"/>
          </w:tcPr>
          <w:p w14:paraId="74658086" w14:textId="7097D5F1" w:rsidR="00DE7C74" w:rsidRPr="001668F0" w:rsidRDefault="00DE7C74" w:rsidP="00DE7C74">
            <w:pPr>
              <w:rPr>
                <w:rFonts w:ascii="Arial" w:hAnsi="Arial" w:cs="Arial"/>
                <w:sz w:val="16"/>
                <w:szCs w:val="16"/>
                <w:lang w:eastAsia="en-CA"/>
              </w:rPr>
            </w:pPr>
            <w:r w:rsidRPr="001668F0">
              <w:rPr>
                <w:rFonts w:ascii="Arial" w:hAnsi="Arial" w:cs="Arial"/>
                <w:sz w:val="16"/>
                <w:szCs w:val="16"/>
                <w:lang w:eastAsia="en-CA"/>
              </w:rPr>
              <w:t>Deferred tax assets not recognized</w:t>
            </w:r>
          </w:p>
        </w:tc>
        <w:tc>
          <w:tcPr>
            <w:tcW w:w="1843" w:type="dxa"/>
            <w:tcBorders>
              <w:top w:val="single" w:sz="12" w:space="0" w:color="auto"/>
              <w:left w:val="nil"/>
              <w:right w:val="nil"/>
            </w:tcBorders>
            <w:shd w:val="clear" w:color="auto" w:fill="auto"/>
            <w:vAlign w:val="center"/>
          </w:tcPr>
          <w:p w14:paraId="7500861E" w14:textId="32B1E840" w:rsidR="00DE7C74" w:rsidRPr="00DF5145" w:rsidRDefault="0073768D" w:rsidP="00DE7C74">
            <w:pPr>
              <w:jc w:val="right"/>
              <w:rPr>
                <w:rFonts w:ascii="Arial" w:hAnsi="Arial"/>
                <w:b/>
                <w:sz w:val="16"/>
              </w:rPr>
            </w:pPr>
            <w:r>
              <w:rPr>
                <w:rFonts w:ascii="Arial" w:hAnsi="Arial"/>
                <w:b/>
                <w:sz w:val="16"/>
              </w:rPr>
              <w:t>10,432,908</w:t>
            </w:r>
          </w:p>
        </w:tc>
        <w:tc>
          <w:tcPr>
            <w:tcW w:w="1735" w:type="dxa"/>
            <w:tcBorders>
              <w:top w:val="single" w:sz="12" w:space="0" w:color="auto"/>
              <w:left w:val="nil"/>
              <w:right w:val="nil"/>
            </w:tcBorders>
            <w:shd w:val="clear" w:color="auto" w:fill="auto"/>
            <w:noWrap/>
            <w:vAlign w:val="center"/>
          </w:tcPr>
          <w:p w14:paraId="30262D67" w14:textId="18DF95B5" w:rsidR="00DE7C74" w:rsidRPr="001668F0" w:rsidRDefault="001668F0" w:rsidP="00DE7C74">
            <w:pPr>
              <w:jc w:val="right"/>
              <w:rPr>
                <w:rFonts w:ascii="Arial" w:hAnsi="Arial" w:cs="Arial"/>
                <w:sz w:val="16"/>
                <w:szCs w:val="16"/>
                <w:lang w:eastAsia="en-CA"/>
              </w:rPr>
            </w:pPr>
            <w:r w:rsidRPr="001668F0">
              <w:rPr>
                <w:rFonts w:ascii="Arial" w:hAnsi="Arial" w:cs="Arial"/>
                <w:sz w:val="16"/>
                <w:szCs w:val="16"/>
                <w:lang w:eastAsia="en-CA"/>
              </w:rPr>
              <w:t>10,611,452</w:t>
            </w:r>
          </w:p>
        </w:tc>
      </w:tr>
      <w:tr w:rsidR="00DE7C74" w:rsidRPr="00926689" w14:paraId="63B8B111" w14:textId="77777777" w:rsidTr="00CA088E">
        <w:trPr>
          <w:trHeight w:hRule="exact" w:val="247"/>
        </w:trPr>
        <w:tc>
          <w:tcPr>
            <w:tcW w:w="4446" w:type="dxa"/>
            <w:tcBorders>
              <w:left w:val="nil"/>
              <w:bottom w:val="nil"/>
              <w:right w:val="nil"/>
            </w:tcBorders>
            <w:shd w:val="clear" w:color="auto" w:fill="auto"/>
            <w:vAlign w:val="center"/>
          </w:tcPr>
          <w:p w14:paraId="349CAFB9" w14:textId="1FA8E299" w:rsidR="00DE7C74" w:rsidRPr="001668F0" w:rsidRDefault="00DE7C74" w:rsidP="00DE7C74">
            <w:pPr>
              <w:rPr>
                <w:rFonts w:ascii="Arial" w:hAnsi="Arial" w:cs="Arial"/>
                <w:sz w:val="16"/>
                <w:szCs w:val="16"/>
                <w:lang w:eastAsia="en-CA"/>
              </w:rPr>
            </w:pPr>
          </w:p>
        </w:tc>
        <w:tc>
          <w:tcPr>
            <w:tcW w:w="1843" w:type="dxa"/>
            <w:tcBorders>
              <w:left w:val="nil"/>
              <w:bottom w:val="nil"/>
              <w:right w:val="nil"/>
            </w:tcBorders>
            <w:shd w:val="clear" w:color="auto" w:fill="auto"/>
            <w:vAlign w:val="center"/>
          </w:tcPr>
          <w:p w14:paraId="7A0E17CE" w14:textId="77777777" w:rsidR="00DE7C74" w:rsidRPr="00DF5145" w:rsidRDefault="00DE7C74" w:rsidP="00DE7C74">
            <w:pPr>
              <w:jc w:val="right"/>
              <w:rPr>
                <w:rFonts w:ascii="Arial" w:hAnsi="Arial"/>
                <w:b/>
                <w:sz w:val="16"/>
              </w:rPr>
            </w:pPr>
          </w:p>
        </w:tc>
        <w:tc>
          <w:tcPr>
            <w:tcW w:w="1735" w:type="dxa"/>
            <w:tcBorders>
              <w:left w:val="nil"/>
              <w:bottom w:val="nil"/>
              <w:right w:val="nil"/>
            </w:tcBorders>
            <w:shd w:val="clear" w:color="auto" w:fill="auto"/>
            <w:noWrap/>
            <w:vAlign w:val="center"/>
          </w:tcPr>
          <w:p w14:paraId="09B4449B" w14:textId="2D09D55C" w:rsidR="00DE7C74" w:rsidRPr="001668F0" w:rsidRDefault="00DE7C74" w:rsidP="00DE7C74">
            <w:pPr>
              <w:jc w:val="right"/>
              <w:rPr>
                <w:rFonts w:ascii="Arial" w:hAnsi="Arial" w:cs="Arial"/>
                <w:sz w:val="16"/>
                <w:szCs w:val="16"/>
                <w:lang w:eastAsia="en-CA"/>
              </w:rPr>
            </w:pPr>
          </w:p>
        </w:tc>
      </w:tr>
      <w:tr w:rsidR="00DE7C74" w:rsidRPr="00926689" w14:paraId="10F3E213" w14:textId="77777777" w:rsidTr="006C01A4">
        <w:trPr>
          <w:trHeight w:hRule="exact" w:val="247"/>
        </w:trPr>
        <w:tc>
          <w:tcPr>
            <w:tcW w:w="4446" w:type="dxa"/>
            <w:tcBorders>
              <w:top w:val="nil"/>
              <w:left w:val="nil"/>
              <w:right w:val="nil"/>
            </w:tcBorders>
            <w:shd w:val="clear" w:color="auto" w:fill="auto"/>
            <w:vAlign w:val="center"/>
          </w:tcPr>
          <w:p w14:paraId="3F6DD34F" w14:textId="5378CF7A" w:rsidR="00DE7C74" w:rsidRPr="001668F0" w:rsidRDefault="00DE7C74" w:rsidP="00DE7C74">
            <w:pPr>
              <w:rPr>
                <w:rFonts w:ascii="Arial" w:hAnsi="Arial" w:cs="Arial"/>
                <w:sz w:val="16"/>
                <w:szCs w:val="16"/>
                <w:lang w:eastAsia="en-CA"/>
              </w:rPr>
            </w:pPr>
            <w:r w:rsidRPr="001668F0">
              <w:rPr>
                <w:rFonts w:ascii="Arial" w:hAnsi="Arial" w:cs="Arial"/>
                <w:sz w:val="16"/>
                <w:szCs w:val="16"/>
                <w:lang w:eastAsia="en-CA"/>
              </w:rPr>
              <w:t>Unused operating tax losses expiring 20</w:t>
            </w:r>
            <w:r w:rsidR="007A68BD" w:rsidRPr="001668F0">
              <w:rPr>
                <w:rFonts w:ascii="Arial" w:hAnsi="Arial" w:cs="Arial"/>
                <w:sz w:val="16"/>
                <w:szCs w:val="16"/>
                <w:lang w:eastAsia="en-CA"/>
              </w:rPr>
              <w:t>30</w:t>
            </w:r>
            <w:r w:rsidRPr="001668F0">
              <w:rPr>
                <w:rFonts w:ascii="Arial" w:hAnsi="Arial" w:cs="Arial"/>
                <w:sz w:val="16"/>
                <w:szCs w:val="16"/>
                <w:lang w:eastAsia="en-CA"/>
              </w:rPr>
              <w:t xml:space="preserve"> to 204</w:t>
            </w:r>
            <w:r w:rsidR="007A68BD" w:rsidRPr="001668F0">
              <w:rPr>
                <w:rFonts w:ascii="Arial" w:hAnsi="Arial" w:cs="Arial"/>
                <w:sz w:val="16"/>
                <w:szCs w:val="16"/>
                <w:lang w:eastAsia="en-CA"/>
              </w:rPr>
              <w:t>1</w:t>
            </w:r>
          </w:p>
        </w:tc>
        <w:tc>
          <w:tcPr>
            <w:tcW w:w="1843" w:type="dxa"/>
            <w:tcBorders>
              <w:top w:val="nil"/>
              <w:left w:val="nil"/>
              <w:right w:val="nil"/>
            </w:tcBorders>
            <w:shd w:val="clear" w:color="auto" w:fill="auto"/>
            <w:vAlign w:val="center"/>
          </w:tcPr>
          <w:p w14:paraId="73505A62" w14:textId="0D426D81" w:rsidR="00DE7C74" w:rsidRPr="00DF5145" w:rsidRDefault="00DE7C74" w:rsidP="00DE7C74">
            <w:pPr>
              <w:jc w:val="right"/>
              <w:rPr>
                <w:rFonts w:ascii="Arial" w:hAnsi="Arial"/>
                <w:b/>
                <w:sz w:val="16"/>
              </w:rPr>
            </w:pPr>
            <w:r w:rsidRPr="00DF5145">
              <w:rPr>
                <w:rFonts w:ascii="Arial" w:hAnsi="Arial"/>
                <w:b/>
                <w:sz w:val="16"/>
              </w:rPr>
              <w:t>1</w:t>
            </w:r>
            <w:r w:rsidR="0073768D">
              <w:rPr>
                <w:rFonts w:ascii="Arial" w:hAnsi="Arial"/>
                <w:b/>
                <w:sz w:val="16"/>
              </w:rPr>
              <w:t>5,073,804</w:t>
            </w:r>
          </w:p>
        </w:tc>
        <w:tc>
          <w:tcPr>
            <w:tcW w:w="1735" w:type="dxa"/>
            <w:tcBorders>
              <w:top w:val="nil"/>
              <w:left w:val="nil"/>
              <w:right w:val="nil"/>
            </w:tcBorders>
            <w:shd w:val="clear" w:color="auto" w:fill="auto"/>
            <w:noWrap/>
            <w:vAlign w:val="center"/>
          </w:tcPr>
          <w:p w14:paraId="6CA855E3" w14:textId="285876C3" w:rsidR="00DE7C74" w:rsidRPr="001668F0" w:rsidRDefault="00DE7C74" w:rsidP="00DE7C74">
            <w:pPr>
              <w:jc w:val="right"/>
              <w:rPr>
                <w:rFonts w:ascii="Arial" w:hAnsi="Arial" w:cs="Arial"/>
                <w:sz w:val="16"/>
                <w:szCs w:val="16"/>
                <w:lang w:eastAsia="en-CA"/>
              </w:rPr>
            </w:pPr>
            <w:r w:rsidRPr="001668F0">
              <w:rPr>
                <w:rFonts w:ascii="Arial" w:hAnsi="Arial" w:cs="Arial"/>
                <w:color w:val="000000"/>
                <w:sz w:val="16"/>
                <w:szCs w:val="16"/>
                <w:lang w:eastAsia="en-CA"/>
              </w:rPr>
              <w:t>1</w:t>
            </w:r>
            <w:r w:rsidR="001668F0" w:rsidRPr="001668F0">
              <w:rPr>
                <w:rFonts w:ascii="Arial" w:hAnsi="Arial" w:cs="Arial"/>
                <w:color w:val="000000"/>
                <w:sz w:val="16"/>
                <w:szCs w:val="16"/>
                <w:lang w:eastAsia="en-CA"/>
              </w:rPr>
              <w:t>4,494,264</w:t>
            </w:r>
          </w:p>
        </w:tc>
      </w:tr>
      <w:tr w:rsidR="00DE7C74" w:rsidRPr="00926689" w14:paraId="6AB624C7" w14:textId="77777777" w:rsidTr="004A4E1A">
        <w:trPr>
          <w:trHeight w:hRule="exact" w:val="247"/>
        </w:trPr>
        <w:tc>
          <w:tcPr>
            <w:tcW w:w="4446" w:type="dxa"/>
            <w:tcBorders>
              <w:top w:val="nil"/>
              <w:left w:val="nil"/>
              <w:right w:val="nil"/>
            </w:tcBorders>
            <w:shd w:val="clear" w:color="auto" w:fill="auto"/>
            <w:vAlign w:val="center"/>
          </w:tcPr>
          <w:p w14:paraId="4C036456" w14:textId="078DAB8B" w:rsidR="00DE7C74" w:rsidRPr="001668F0" w:rsidRDefault="00DE7C74" w:rsidP="00DE7C74">
            <w:pPr>
              <w:rPr>
                <w:rFonts w:ascii="Arial" w:hAnsi="Arial" w:cs="Arial"/>
                <w:sz w:val="16"/>
                <w:szCs w:val="16"/>
                <w:lang w:eastAsia="en-CA"/>
              </w:rPr>
            </w:pPr>
            <w:r w:rsidRPr="001668F0">
              <w:rPr>
                <w:rFonts w:ascii="Arial" w:hAnsi="Arial" w:cs="Arial"/>
                <w:sz w:val="16"/>
                <w:szCs w:val="16"/>
                <w:lang w:eastAsia="en-CA"/>
              </w:rPr>
              <w:t>Unused operating tax losses with indefinite expiration</w:t>
            </w:r>
          </w:p>
        </w:tc>
        <w:tc>
          <w:tcPr>
            <w:tcW w:w="1843" w:type="dxa"/>
            <w:tcBorders>
              <w:top w:val="nil"/>
              <w:left w:val="nil"/>
              <w:right w:val="nil"/>
            </w:tcBorders>
            <w:shd w:val="clear" w:color="auto" w:fill="auto"/>
            <w:vAlign w:val="center"/>
          </w:tcPr>
          <w:p w14:paraId="392D0684" w14:textId="1F3162E4" w:rsidR="00DE7C74" w:rsidRPr="00DF5145" w:rsidRDefault="0073768D" w:rsidP="00DE7C74">
            <w:pPr>
              <w:jc w:val="right"/>
              <w:rPr>
                <w:rFonts w:ascii="Arial" w:hAnsi="Arial"/>
                <w:b/>
                <w:sz w:val="16"/>
              </w:rPr>
            </w:pPr>
            <w:r>
              <w:rPr>
                <w:rFonts w:ascii="Arial" w:hAnsi="Arial"/>
                <w:b/>
                <w:sz w:val="16"/>
              </w:rPr>
              <w:t>7,263,421</w:t>
            </w:r>
          </w:p>
        </w:tc>
        <w:tc>
          <w:tcPr>
            <w:tcW w:w="1735" w:type="dxa"/>
            <w:tcBorders>
              <w:top w:val="nil"/>
              <w:left w:val="nil"/>
              <w:right w:val="nil"/>
            </w:tcBorders>
            <w:shd w:val="clear" w:color="auto" w:fill="auto"/>
            <w:noWrap/>
            <w:vAlign w:val="center"/>
          </w:tcPr>
          <w:p w14:paraId="0F5FD68A" w14:textId="2B92F96D" w:rsidR="00DE7C74" w:rsidRPr="001668F0" w:rsidRDefault="001668F0" w:rsidP="00DE7C74">
            <w:pPr>
              <w:jc w:val="right"/>
              <w:rPr>
                <w:rFonts w:ascii="Arial" w:hAnsi="Arial" w:cs="Arial"/>
                <w:sz w:val="16"/>
                <w:szCs w:val="16"/>
                <w:lang w:eastAsia="en-CA"/>
              </w:rPr>
            </w:pPr>
            <w:r w:rsidRPr="001668F0">
              <w:rPr>
                <w:rFonts w:ascii="Arial" w:hAnsi="Arial" w:cs="Arial"/>
                <w:color w:val="000000"/>
                <w:sz w:val="16"/>
                <w:szCs w:val="16"/>
                <w:lang w:eastAsia="en-CA"/>
              </w:rPr>
              <w:t>5,628,356</w:t>
            </w:r>
          </w:p>
        </w:tc>
      </w:tr>
      <w:tr w:rsidR="00DE7C74" w:rsidRPr="00926689" w14:paraId="70E44A88" w14:textId="77777777" w:rsidTr="00CA088E">
        <w:trPr>
          <w:trHeight w:hRule="exact" w:val="247"/>
        </w:trPr>
        <w:tc>
          <w:tcPr>
            <w:tcW w:w="4446" w:type="dxa"/>
            <w:tcBorders>
              <w:left w:val="nil"/>
              <w:bottom w:val="single" w:sz="4" w:space="0" w:color="000000"/>
              <w:right w:val="nil"/>
            </w:tcBorders>
            <w:shd w:val="clear" w:color="auto" w:fill="auto"/>
            <w:vAlign w:val="center"/>
          </w:tcPr>
          <w:p w14:paraId="7734A913" w14:textId="51526B28" w:rsidR="00DE7C74" w:rsidRPr="001668F0" w:rsidRDefault="00DE7C74" w:rsidP="00DE7C74">
            <w:pPr>
              <w:rPr>
                <w:rFonts w:ascii="Arial" w:hAnsi="Arial" w:cs="Arial"/>
                <w:sz w:val="16"/>
                <w:szCs w:val="16"/>
                <w:lang w:eastAsia="en-CA"/>
              </w:rPr>
            </w:pPr>
            <w:r w:rsidRPr="001668F0">
              <w:rPr>
                <w:rFonts w:ascii="Arial" w:hAnsi="Arial" w:cs="Arial"/>
                <w:sz w:val="16"/>
                <w:szCs w:val="16"/>
                <w:lang w:eastAsia="en-CA"/>
              </w:rPr>
              <w:t>Deductible temporary differences</w:t>
            </w:r>
          </w:p>
        </w:tc>
        <w:tc>
          <w:tcPr>
            <w:tcW w:w="1843" w:type="dxa"/>
            <w:tcBorders>
              <w:left w:val="nil"/>
              <w:bottom w:val="single" w:sz="4" w:space="0" w:color="000000"/>
              <w:right w:val="nil"/>
            </w:tcBorders>
            <w:shd w:val="clear" w:color="auto" w:fill="auto"/>
            <w:vAlign w:val="center"/>
          </w:tcPr>
          <w:p w14:paraId="3A472441" w14:textId="2FBF9C1C" w:rsidR="00DE7C74" w:rsidRPr="00DF5145" w:rsidRDefault="00DE7C74" w:rsidP="00DE7C74">
            <w:pPr>
              <w:jc w:val="right"/>
              <w:rPr>
                <w:rFonts w:ascii="Arial" w:hAnsi="Arial"/>
                <w:b/>
                <w:sz w:val="16"/>
              </w:rPr>
            </w:pPr>
            <w:r w:rsidRPr="00DF5145">
              <w:rPr>
                <w:rFonts w:ascii="Arial" w:hAnsi="Arial"/>
                <w:b/>
                <w:sz w:val="16"/>
              </w:rPr>
              <w:t>1</w:t>
            </w:r>
            <w:r w:rsidR="0073768D">
              <w:rPr>
                <w:rFonts w:ascii="Arial" w:hAnsi="Arial"/>
                <w:b/>
                <w:sz w:val="16"/>
              </w:rPr>
              <w:t>9,078,778</w:t>
            </w:r>
          </w:p>
        </w:tc>
        <w:tc>
          <w:tcPr>
            <w:tcW w:w="1735" w:type="dxa"/>
            <w:tcBorders>
              <w:left w:val="nil"/>
              <w:bottom w:val="single" w:sz="4" w:space="0" w:color="000000"/>
              <w:right w:val="nil"/>
            </w:tcBorders>
            <w:shd w:val="clear" w:color="auto" w:fill="auto"/>
            <w:noWrap/>
            <w:vAlign w:val="center"/>
          </w:tcPr>
          <w:p w14:paraId="5646B03F" w14:textId="010F3A44" w:rsidR="00DE7C74" w:rsidRPr="001668F0" w:rsidRDefault="001668F0" w:rsidP="00DE7C74">
            <w:pPr>
              <w:jc w:val="right"/>
              <w:rPr>
                <w:rFonts w:ascii="Arial" w:hAnsi="Arial" w:cs="Arial"/>
                <w:sz w:val="16"/>
                <w:szCs w:val="16"/>
                <w:lang w:eastAsia="en-CA"/>
              </w:rPr>
            </w:pPr>
            <w:r w:rsidRPr="001668F0">
              <w:rPr>
                <w:rFonts w:ascii="Arial" w:hAnsi="Arial" w:cs="Arial"/>
                <w:color w:val="000000"/>
                <w:sz w:val="16"/>
                <w:szCs w:val="16"/>
                <w:lang w:eastAsia="en-CA"/>
              </w:rPr>
              <w:t>21,864,469</w:t>
            </w:r>
          </w:p>
        </w:tc>
      </w:tr>
      <w:tr w:rsidR="00DE7C74" w:rsidRPr="00625025" w14:paraId="27610EC4" w14:textId="77777777" w:rsidTr="00CA088E">
        <w:trPr>
          <w:trHeight w:hRule="exact" w:val="247"/>
        </w:trPr>
        <w:tc>
          <w:tcPr>
            <w:tcW w:w="4446" w:type="dxa"/>
            <w:tcBorders>
              <w:top w:val="single" w:sz="4" w:space="0" w:color="000000"/>
              <w:right w:val="nil"/>
            </w:tcBorders>
            <w:shd w:val="clear" w:color="auto" w:fill="auto"/>
            <w:vAlign w:val="center"/>
            <w:hideMark/>
          </w:tcPr>
          <w:p w14:paraId="010C47F5" w14:textId="40FAA276" w:rsidR="00DE7C74" w:rsidRPr="001668F0" w:rsidRDefault="00DE7C74" w:rsidP="00DE7C74">
            <w:pPr>
              <w:rPr>
                <w:rFonts w:ascii="Arial" w:hAnsi="Arial" w:cs="Arial"/>
                <w:sz w:val="16"/>
                <w:szCs w:val="16"/>
                <w:lang w:eastAsia="en-CA"/>
              </w:rPr>
            </w:pPr>
            <w:r w:rsidRPr="001668F0">
              <w:rPr>
                <w:rFonts w:ascii="Arial" w:hAnsi="Arial" w:cs="Arial"/>
                <w:sz w:val="16"/>
                <w:szCs w:val="16"/>
                <w:lang w:eastAsia="en-CA"/>
              </w:rPr>
              <w:t> Total unused operating tax losses</w:t>
            </w:r>
          </w:p>
        </w:tc>
        <w:tc>
          <w:tcPr>
            <w:tcW w:w="1843" w:type="dxa"/>
            <w:tcBorders>
              <w:top w:val="single" w:sz="4" w:space="0" w:color="000000"/>
              <w:left w:val="nil"/>
              <w:right w:val="nil"/>
            </w:tcBorders>
            <w:shd w:val="clear" w:color="auto" w:fill="auto"/>
            <w:vAlign w:val="center"/>
            <w:hideMark/>
          </w:tcPr>
          <w:p w14:paraId="4F3141EB" w14:textId="337A1065" w:rsidR="00DE7C74" w:rsidRPr="00DF5145" w:rsidRDefault="0073768D" w:rsidP="00DE7C74">
            <w:pPr>
              <w:jc w:val="right"/>
              <w:rPr>
                <w:rFonts w:ascii="Arial" w:hAnsi="Arial"/>
                <w:b/>
                <w:sz w:val="16"/>
              </w:rPr>
            </w:pPr>
            <w:r>
              <w:rPr>
                <w:rFonts w:ascii="Arial" w:hAnsi="Arial"/>
                <w:b/>
                <w:color w:val="000000"/>
                <w:sz w:val="16"/>
              </w:rPr>
              <w:t>41,416,004</w:t>
            </w:r>
          </w:p>
        </w:tc>
        <w:tc>
          <w:tcPr>
            <w:tcW w:w="1735" w:type="dxa"/>
            <w:tcBorders>
              <w:top w:val="single" w:sz="4" w:space="0" w:color="000000"/>
              <w:left w:val="nil"/>
            </w:tcBorders>
            <w:shd w:val="clear" w:color="auto" w:fill="auto"/>
            <w:noWrap/>
            <w:vAlign w:val="center"/>
            <w:hideMark/>
          </w:tcPr>
          <w:p w14:paraId="2FBAABE4" w14:textId="462EB39F" w:rsidR="00DE7C74" w:rsidRPr="001668F0" w:rsidRDefault="001668F0" w:rsidP="00DE7C74">
            <w:pPr>
              <w:jc w:val="right"/>
              <w:rPr>
                <w:rFonts w:ascii="Arial" w:hAnsi="Arial" w:cs="Arial"/>
                <w:sz w:val="16"/>
                <w:szCs w:val="16"/>
                <w:lang w:eastAsia="en-CA"/>
              </w:rPr>
            </w:pPr>
            <w:r w:rsidRPr="001668F0">
              <w:rPr>
                <w:rFonts w:ascii="Arial" w:hAnsi="Arial" w:cs="Arial"/>
                <w:color w:val="000000"/>
                <w:sz w:val="16"/>
                <w:szCs w:val="16"/>
                <w:lang w:eastAsia="en-CA"/>
              </w:rPr>
              <w:t>41,987,089</w:t>
            </w:r>
          </w:p>
        </w:tc>
      </w:tr>
    </w:tbl>
    <w:p w14:paraId="7DC87A4E" w14:textId="77777777" w:rsidR="000C55A5" w:rsidRDefault="000C55A5" w:rsidP="005C0E14">
      <w:pPr>
        <w:tabs>
          <w:tab w:val="left" w:pos="1002"/>
        </w:tabs>
        <w:ind w:left="851"/>
        <w:rPr>
          <w:rFonts w:ascii="Arial" w:hAnsi="Arial" w:cs="Arial"/>
          <w:b/>
          <w:bCs/>
        </w:rPr>
      </w:pPr>
    </w:p>
    <w:p w14:paraId="623A67E9" w14:textId="68429B89" w:rsidR="00637C96" w:rsidRPr="00A10E12" w:rsidRDefault="00A15174" w:rsidP="005C0E14">
      <w:pPr>
        <w:tabs>
          <w:tab w:val="left" w:pos="1002"/>
        </w:tabs>
        <w:ind w:left="851"/>
        <w:rPr>
          <w:rFonts w:ascii="Arial" w:hAnsi="Arial" w:cs="Arial"/>
          <w:b/>
          <w:bCs/>
          <w:sz w:val="16"/>
          <w:szCs w:val="16"/>
        </w:rPr>
      </w:pPr>
      <w:r w:rsidRPr="00A10E12">
        <w:rPr>
          <w:rFonts w:ascii="Arial" w:hAnsi="Arial" w:cs="Arial"/>
          <w:b/>
          <w:bCs/>
          <w:sz w:val="16"/>
          <w:szCs w:val="16"/>
        </w:rPr>
        <w:t>13.</w:t>
      </w:r>
      <w:r w:rsidR="00615074" w:rsidRPr="00A10E12">
        <w:rPr>
          <w:rFonts w:ascii="Arial" w:hAnsi="Arial" w:cs="Arial"/>
          <w:b/>
          <w:bCs/>
          <w:sz w:val="16"/>
          <w:szCs w:val="16"/>
        </w:rPr>
        <w:t xml:space="preserve">  </w:t>
      </w:r>
      <w:r w:rsidR="00637C96" w:rsidRPr="00A10E12">
        <w:rPr>
          <w:rFonts w:ascii="Arial" w:hAnsi="Arial" w:cs="Arial"/>
          <w:b/>
          <w:bCs/>
          <w:sz w:val="16"/>
          <w:szCs w:val="16"/>
        </w:rPr>
        <w:t>INCOME</w:t>
      </w:r>
    </w:p>
    <w:p w14:paraId="0DAF776A" w14:textId="77777777" w:rsidR="00802EC2" w:rsidRDefault="00802EC2" w:rsidP="005C0E14">
      <w:pPr>
        <w:tabs>
          <w:tab w:val="left" w:pos="1002"/>
        </w:tabs>
        <w:ind w:left="851"/>
        <w:rPr>
          <w:rFonts w:ascii="Arial" w:hAnsi="Arial" w:cs="Arial"/>
          <w:b/>
          <w:sz w:val="18"/>
        </w:rPr>
      </w:pPr>
    </w:p>
    <w:p w14:paraId="75B13028" w14:textId="13D401D8" w:rsidR="00637C96" w:rsidRDefault="001C22DB" w:rsidP="005C0E14">
      <w:pPr>
        <w:pStyle w:val="BodyText"/>
        <w:ind w:left="851" w:right="737"/>
        <w:jc w:val="both"/>
        <w:rPr>
          <w:rFonts w:ascii="Arial" w:hAnsi="Arial" w:cs="Arial"/>
        </w:rPr>
      </w:pPr>
      <w:r>
        <w:rPr>
          <w:rFonts w:ascii="Arial" w:hAnsi="Arial" w:cs="Arial"/>
        </w:rPr>
        <w:t>The Corporation invested in Guaranteed Investment Certificates during the year and earned $34,123 as interest income.</w:t>
      </w:r>
      <w:r w:rsidR="003123D3">
        <w:rPr>
          <w:rFonts w:ascii="Arial" w:hAnsi="Arial" w:cs="Arial"/>
        </w:rPr>
        <w:t xml:space="preserve"> </w:t>
      </w:r>
    </w:p>
    <w:p w14:paraId="008E1A05" w14:textId="6688DF4C" w:rsidR="00902654" w:rsidRDefault="00902654" w:rsidP="005C0E14">
      <w:pPr>
        <w:pStyle w:val="BodyText"/>
        <w:ind w:left="851" w:right="737"/>
        <w:jc w:val="both"/>
        <w:rPr>
          <w:rFonts w:ascii="Arial" w:hAnsi="Arial"/>
        </w:rPr>
      </w:pPr>
    </w:p>
    <w:p w14:paraId="1DD802DE" w14:textId="78853EE2" w:rsidR="000A1D2E" w:rsidRPr="006A428A" w:rsidRDefault="000A1D2E" w:rsidP="005C0E14">
      <w:pPr>
        <w:pStyle w:val="BodyText"/>
        <w:ind w:left="851" w:right="737"/>
        <w:jc w:val="both"/>
        <w:rPr>
          <w:rFonts w:ascii="Arial" w:hAnsi="Arial"/>
          <w:b/>
          <w:bCs/>
        </w:rPr>
      </w:pPr>
      <w:r w:rsidRPr="006A428A">
        <w:rPr>
          <w:rFonts w:ascii="Arial" w:hAnsi="Arial"/>
          <w:b/>
          <w:bCs/>
        </w:rPr>
        <w:t>Other Income</w:t>
      </w:r>
    </w:p>
    <w:p w14:paraId="38816E76" w14:textId="77777777" w:rsidR="000A1D2E" w:rsidRDefault="000A1D2E" w:rsidP="005C0E14">
      <w:pPr>
        <w:pStyle w:val="BodyText"/>
        <w:ind w:left="851" w:right="737"/>
        <w:jc w:val="both"/>
        <w:rPr>
          <w:rFonts w:ascii="Arial" w:hAnsi="Arial"/>
        </w:rPr>
      </w:pPr>
    </w:p>
    <w:p w14:paraId="76F64EB7" w14:textId="19DFA31B" w:rsidR="000A1D2E" w:rsidRDefault="000A1D2E" w:rsidP="005C0E14">
      <w:pPr>
        <w:pStyle w:val="BodyText"/>
        <w:ind w:left="851" w:right="737"/>
        <w:jc w:val="both"/>
        <w:rPr>
          <w:rFonts w:ascii="Arial" w:hAnsi="Arial" w:cs="Arial"/>
        </w:rPr>
      </w:pPr>
      <w:r w:rsidRPr="00947528">
        <w:rPr>
          <w:rFonts w:ascii="Arial" w:hAnsi="Arial" w:cs="Arial"/>
        </w:rPr>
        <w:t>Other income for the year ended December 31, 202</w:t>
      </w:r>
      <w:r>
        <w:rPr>
          <w:rFonts w:ascii="Arial" w:hAnsi="Arial" w:cs="Arial"/>
        </w:rPr>
        <w:t>3,</w:t>
      </w:r>
      <w:r w:rsidRPr="00947528">
        <w:rPr>
          <w:rFonts w:ascii="Arial" w:hAnsi="Arial" w:cs="Arial"/>
        </w:rPr>
        <w:t xml:space="preserve"> </w:t>
      </w:r>
      <w:r>
        <w:rPr>
          <w:rFonts w:ascii="Arial" w:hAnsi="Arial" w:cs="Arial"/>
        </w:rPr>
        <w:t>includes a grant received from the Government of New Brunswick.</w:t>
      </w:r>
    </w:p>
    <w:p w14:paraId="3CB80438" w14:textId="77777777" w:rsidR="000A1D2E" w:rsidRPr="002A7614" w:rsidRDefault="000A1D2E" w:rsidP="005C0E14">
      <w:pPr>
        <w:pStyle w:val="BodyText"/>
        <w:ind w:left="851" w:right="737"/>
        <w:jc w:val="both"/>
        <w:rPr>
          <w:rFonts w:ascii="Arial" w:hAnsi="Arial"/>
        </w:rPr>
      </w:pPr>
    </w:p>
    <w:tbl>
      <w:tblPr>
        <w:tblStyle w:val="TableGrid"/>
        <w:tblW w:w="0" w:type="auto"/>
        <w:tblInd w:w="799" w:type="dxa"/>
        <w:tblBorders>
          <w:insideH w:val="none" w:sz="0" w:space="0" w:color="auto"/>
          <w:insideV w:val="none" w:sz="0" w:space="0" w:color="auto"/>
        </w:tblBorders>
        <w:tblLook w:val="04A0" w:firstRow="1" w:lastRow="0" w:firstColumn="1" w:lastColumn="0" w:noHBand="0" w:noVBand="1"/>
      </w:tblPr>
      <w:tblGrid>
        <w:gridCol w:w="4441"/>
        <w:gridCol w:w="1843"/>
        <w:gridCol w:w="1701"/>
      </w:tblGrid>
      <w:tr w:rsidR="00902654" w:rsidRPr="005C09EC" w14:paraId="5A4E1538" w14:textId="77777777" w:rsidTr="00AB42F3">
        <w:trPr>
          <w:trHeight w:val="221"/>
        </w:trPr>
        <w:tc>
          <w:tcPr>
            <w:tcW w:w="4441" w:type="dxa"/>
            <w:tcBorders>
              <w:top w:val="nil"/>
              <w:left w:val="nil"/>
              <w:bottom w:val="single" w:sz="12" w:space="0" w:color="auto"/>
            </w:tcBorders>
          </w:tcPr>
          <w:p w14:paraId="315DB097" w14:textId="15190892" w:rsidR="00902654" w:rsidRDefault="00902654" w:rsidP="00902654">
            <w:pPr>
              <w:jc w:val="both"/>
              <w:rPr>
                <w:rFonts w:ascii="Arial" w:hAnsi="Arial" w:cs="Arial"/>
                <w:sz w:val="16"/>
                <w:szCs w:val="16"/>
              </w:rPr>
            </w:pPr>
          </w:p>
        </w:tc>
        <w:tc>
          <w:tcPr>
            <w:tcW w:w="1843" w:type="dxa"/>
            <w:tcBorders>
              <w:top w:val="nil"/>
              <w:bottom w:val="single" w:sz="12" w:space="0" w:color="auto"/>
            </w:tcBorders>
          </w:tcPr>
          <w:p w14:paraId="413F42FC" w14:textId="7A21320D" w:rsidR="00902654" w:rsidRPr="00F62A86" w:rsidRDefault="00902654" w:rsidP="00902654">
            <w:pPr>
              <w:jc w:val="right"/>
              <w:rPr>
                <w:rFonts w:ascii="Arial" w:hAnsi="Arial" w:cs="Arial"/>
                <w:b/>
                <w:bCs/>
                <w:sz w:val="16"/>
                <w:szCs w:val="16"/>
              </w:rPr>
            </w:pPr>
            <w:r w:rsidRPr="00F62A86">
              <w:rPr>
                <w:rFonts w:ascii="Arial" w:hAnsi="Arial" w:cs="Arial"/>
                <w:b/>
                <w:bCs/>
                <w:sz w:val="16"/>
                <w:szCs w:val="16"/>
              </w:rPr>
              <w:t>202</w:t>
            </w:r>
            <w:r w:rsidR="00CE528F" w:rsidRPr="00F62A86">
              <w:rPr>
                <w:rFonts w:ascii="Arial" w:hAnsi="Arial" w:cs="Arial"/>
                <w:b/>
                <w:bCs/>
                <w:sz w:val="16"/>
                <w:szCs w:val="16"/>
              </w:rPr>
              <w:t>3</w:t>
            </w:r>
          </w:p>
          <w:p w14:paraId="724C6A64" w14:textId="0088AE8D" w:rsidR="00902654" w:rsidRPr="00F62A86" w:rsidRDefault="00902654" w:rsidP="004D6755">
            <w:pPr>
              <w:jc w:val="right"/>
              <w:rPr>
                <w:rFonts w:ascii="Arial" w:hAnsi="Arial" w:cs="Arial"/>
                <w:b/>
                <w:bCs/>
                <w:sz w:val="16"/>
                <w:szCs w:val="16"/>
              </w:rPr>
            </w:pPr>
            <w:r w:rsidRPr="00F62A86">
              <w:rPr>
                <w:rFonts w:ascii="Arial" w:hAnsi="Arial" w:cs="Arial"/>
                <w:b/>
                <w:bCs/>
                <w:sz w:val="16"/>
                <w:szCs w:val="16"/>
              </w:rPr>
              <w:t>$</w:t>
            </w:r>
          </w:p>
        </w:tc>
        <w:tc>
          <w:tcPr>
            <w:tcW w:w="1701" w:type="dxa"/>
            <w:tcBorders>
              <w:top w:val="nil"/>
              <w:bottom w:val="single" w:sz="12" w:space="0" w:color="auto"/>
              <w:right w:val="nil"/>
            </w:tcBorders>
          </w:tcPr>
          <w:p w14:paraId="62185C6F" w14:textId="6EAC871C" w:rsidR="00902654" w:rsidRPr="005C09EC" w:rsidRDefault="00902654" w:rsidP="004D6755">
            <w:pPr>
              <w:jc w:val="right"/>
              <w:rPr>
                <w:rFonts w:ascii="Arial" w:hAnsi="Arial" w:cs="Arial"/>
                <w:sz w:val="16"/>
                <w:szCs w:val="16"/>
                <w:lang w:val="en-IN"/>
              </w:rPr>
            </w:pPr>
            <w:r w:rsidRPr="005C09EC">
              <w:rPr>
                <w:rFonts w:ascii="Arial" w:hAnsi="Arial" w:cs="Arial"/>
                <w:sz w:val="16"/>
                <w:szCs w:val="16"/>
              </w:rPr>
              <w:t>202</w:t>
            </w:r>
            <w:r w:rsidR="00CE528F">
              <w:rPr>
                <w:rFonts w:ascii="Arial" w:hAnsi="Arial" w:cs="Arial"/>
                <w:sz w:val="16"/>
                <w:szCs w:val="16"/>
              </w:rPr>
              <w:t>2</w:t>
            </w:r>
          </w:p>
          <w:p w14:paraId="789A80DA" w14:textId="169D04C8" w:rsidR="00902654" w:rsidRPr="005C09EC" w:rsidRDefault="00902654" w:rsidP="004D6755">
            <w:pPr>
              <w:jc w:val="right"/>
            </w:pPr>
            <w:r w:rsidRPr="005C09EC">
              <w:rPr>
                <w:rFonts w:ascii="Arial" w:hAnsi="Arial" w:cs="Arial"/>
                <w:b/>
                <w:bCs/>
                <w:sz w:val="16"/>
                <w:szCs w:val="16"/>
              </w:rPr>
              <w:t>$</w:t>
            </w:r>
          </w:p>
        </w:tc>
      </w:tr>
      <w:tr w:rsidR="00CE528F" w:rsidRPr="005C09EC" w14:paraId="3A3F3C28" w14:textId="77777777" w:rsidTr="004A4E1A">
        <w:trPr>
          <w:trHeight w:val="249"/>
        </w:trPr>
        <w:tc>
          <w:tcPr>
            <w:tcW w:w="4441" w:type="dxa"/>
            <w:tcBorders>
              <w:top w:val="nil"/>
              <w:left w:val="nil"/>
            </w:tcBorders>
            <w:vAlign w:val="bottom"/>
          </w:tcPr>
          <w:p w14:paraId="2C599B4F" w14:textId="0C0EE7FA" w:rsidR="00CE528F" w:rsidRPr="005C09EC" w:rsidRDefault="00CE528F" w:rsidP="00CE528F">
            <w:pPr>
              <w:jc w:val="both"/>
            </w:pPr>
            <w:r w:rsidRPr="005C09EC">
              <w:rPr>
                <w:rFonts w:ascii="Arial" w:hAnsi="Arial" w:cs="Arial"/>
                <w:sz w:val="16"/>
                <w:szCs w:val="16"/>
              </w:rPr>
              <w:t>Manitoba Mineral Development Fund</w:t>
            </w:r>
          </w:p>
        </w:tc>
        <w:tc>
          <w:tcPr>
            <w:tcW w:w="1843" w:type="dxa"/>
            <w:tcBorders>
              <w:top w:val="nil"/>
            </w:tcBorders>
            <w:vAlign w:val="bottom"/>
          </w:tcPr>
          <w:p w14:paraId="04A7F341" w14:textId="20D733BE" w:rsidR="00CE528F" w:rsidRPr="00A10E12" w:rsidRDefault="00F62A86" w:rsidP="00CE528F">
            <w:pPr>
              <w:jc w:val="right"/>
              <w:rPr>
                <w:rFonts w:ascii="Arial" w:hAnsi="Arial" w:cs="Arial"/>
                <w:b/>
                <w:bCs/>
                <w:sz w:val="16"/>
                <w:szCs w:val="16"/>
              </w:rPr>
            </w:pPr>
            <w:r w:rsidRPr="00A10E12">
              <w:rPr>
                <w:rFonts w:ascii="Arial" w:hAnsi="Arial" w:cs="Arial"/>
                <w:b/>
                <w:bCs/>
                <w:sz w:val="16"/>
                <w:szCs w:val="16"/>
              </w:rPr>
              <w:t>-</w:t>
            </w:r>
          </w:p>
        </w:tc>
        <w:tc>
          <w:tcPr>
            <w:tcW w:w="1701" w:type="dxa"/>
            <w:tcBorders>
              <w:top w:val="nil"/>
              <w:right w:val="nil"/>
            </w:tcBorders>
            <w:vAlign w:val="bottom"/>
          </w:tcPr>
          <w:p w14:paraId="3A2BB804" w14:textId="51E25806" w:rsidR="00CE528F" w:rsidRPr="00A10E12" w:rsidRDefault="00CE528F" w:rsidP="00CE528F">
            <w:pPr>
              <w:jc w:val="right"/>
              <w:rPr>
                <w:rFonts w:ascii="Arial" w:hAnsi="Arial" w:cs="Arial"/>
                <w:sz w:val="16"/>
                <w:szCs w:val="16"/>
              </w:rPr>
            </w:pPr>
            <w:r w:rsidRPr="00A10E12">
              <w:rPr>
                <w:rFonts w:ascii="Arial" w:hAnsi="Arial" w:cs="Arial"/>
                <w:bCs/>
                <w:sz w:val="16"/>
                <w:szCs w:val="16"/>
              </w:rPr>
              <w:t>207,000</w:t>
            </w:r>
          </w:p>
        </w:tc>
      </w:tr>
      <w:tr w:rsidR="00CE528F" w:rsidRPr="005C09EC" w14:paraId="0142038C" w14:textId="77777777" w:rsidTr="004A4E1A">
        <w:trPr>
          <w:trHeight w:val="249"/>
        </w:trPr>
        <w:tc>
          <w:tcPr>
            <w:tcW w:w="4441" w:type="dxa"/>
            <w:tcBorders>
              <w:left w:val="nil"/>
            </w:tcBorders>
            <w:vAlign w:val="bottom"/>
          </w:tcPr>
          <w:p w14:paraId="26F3A80B" w14:textId="32C685E2" w:rsidR="00CE528F" w:rsidRPr="005C09EC" w:rsidRDefault="00CE528F" w:rsidP="00CE528F">
            <w:pPr>
              <w:jc w:val="both"/>
            </w:pPr>
            <w:r w:rsidRPr="005C09EC">
              <w:rPr>
                <w:rFonts w:ascii="Arial" w:hAnsi="Arial" w:cs="Arial"/>
                <w:sz w:val="16"/>
                <w:szCs w:val="16"/>
              </w:rPr>
              <w:t xml:space="preserve">Government of New Brunswick </w:t>
            </w:r>
            <w:r>
              <w:rPr>
                <w:rFonts w:ascii="Arial" w:hAnsi="Arial" w:cs="Arial"/>
                <w:sz w:val="16"/>
                <w:szCs w:val="16"/>
              </w:rPr>
              <w:t>G</w:t>
            </w:r>
            <w:r w:rsidRPr="005C09EC">
              <w:rPr>
                <w:rFonts w:ascii="Arial" w:hAnsi="Arial" w:cs="Arial"/>
                <w:sz w:val="16"/>
                <w:szCs w:val="16"/>
              </w:rPr>
              <w:t>rant</w:t>
            </w:r>
          </w:p>
        </w:tc>
        <w:tc>
          <w:tcPr>
            <w:tcW w:w="1843" w:type="dxa"/>
            <w:vAlign w:val="bottom"/>
          </w:tcPr>
          <w:p w14:paraId="6C827BD8" w14:textId="630628C4" w:rsidR="00CE528F" w:rsidRPr="00A10E12" w:rsidRDefault="00F62A86" w:rsidP="00CE528F">
            <w:pPr>
              <w:jc w:val="right"/>
              <w:rPr>
                <w:rFonts w:ascii="Arial" w:hAnsi="Arial" w:cs="Arial"/>
                <w:sz w:val="16"/>
                <w:szCs w:val="16"/>
              </w:rPr>
            </w:pPr>
            <w:r w:rsidRPr="00A10E12">
              <w:rPr>
                <w:rFonts w:ascii="Arial" w:hAnsi="Arial" w:cs="Arial"/>
                <w:b/>
                <w:bCs/>
                <w:sz w:val="16"/>
                <w:szCs w:val="16"/>
              </w:rPr>
              <w:t>15,000</w:t>
            </w:r>
          </w:p>
        </w:tc>
        <w:tc>
          <w:tcPr>
            <w:tcW w:w="1701" w:type="dxa"/>
            <w:tcBorders>
              <w:right w:val="nil"/>
            </w:tcBorders>
            <w:vAlign w:val="bottom"/>
          </w:tcPr>
          <w:p w14:paraId="64D6031B" w14:textId="06CB4E89" w:rsidR="00CE528F" w:rsidRPr="00A10E12" w:rsidRDefault="00CE528F" w:rsidP="00CE528F">
            <w:pPr>
              <w:jc w:val="right"/>
              <w:rPr>
                <w:rFonts w:ascii="Arial" w:hAnsi="Arial" w:cs="Arial"/>
                <w:sz w:val="16"/>
                <w:szCs w:val="16"/>
              </w:rPr>
            </w:pPr>
            <w:r w:rsidRPr="00A10E12">
              <w:rPr>
                <w:rFonts w:ascii="Arial" w:hAnsi="Arial" w:cs="Arial"/>
                <w:bCs/>
                <w:sz w:val="16"/>
                <w:szCs w:val="16"/>
              </w:rPr>
              <w:t>36,900</w:t>
            </w:r>
          </w:p>
        </w:tc>
      </w:tr>
      <w:tr w:rsidR="00CE528F" w:rsidRPr="005C09EC" w14:paraId="5BED4AE8" w14:textId="77777777" w:rsidTr="004A4E1A">
        <w:trPr>
          <w:trHeight w:val="249"/>
        </w:trPr>
        <w:tc>
          <w:tcPr>
            <w:tcW w:w="4441" w:type="dxa"/>
            <w:tcBorders>
              <w:left w:val="nil"/>
              <w:bottom w:val="nil"/>
            </w:tcBorders>
            <w:vAlign w:val="bottom"/>
          </w:tcPr>
          <w:p w14:paraId="48A61759" w14:textId="3268201F" w:rsidR="00CE528F" w:rsidRPr="005C09EC" w:rsidRDefault="00CE528F" w:rsidP="00CE528F">
            <w:pPr>
              <w:jc w:val="both"/>
            </w:pPr>
            <w:r w:rsidRPr="005C09EC">
              <w:rPr>
                <w:rFonts w:ascii="Arial" w:hAnsi="Arial" w:cs="Arial"/>
                <w:sz w:val="16"/>
                <w:szCs w:val="16"/>
              </w:rPr>
              <w:t xml:space="preserve">Proceeds from </w:t>
            </w:r>
            <w:r>
              <w:rPr>
                <w:rFonts w:ascii="Arial" w:hAnsi="Arial" w:cs="Arial"/>
                <w:sz w:val="16"/>
                <w:szCs w:val="16"/>
              </w:rPr>
              <w:t>T</w:t>
            </w:r>
            <w:r w:rsidRPr="005C09EC">
              <w:rPr>
                <w:rFonts w:ascii="Arial" w:hAnsi="Arial" w:cs="Arial"/>
                <w:sz w:val="16"/>
                <w:szCs w:val="16"/>
              </w:rPr>
              <w:t xml:space="preserve">imber </w:t>
            </w:r>
            <w:r>
              <w:rPr>
                <w:rFonts w:ascii="Arial" w:hAnsi="Arial" w:cs="Arial"/>
                <w:sz w:val="16"/>
                <w:szCs w:val="16"/>
              </w:rPr>
              <w:t>S</w:t>
            </w:r>
            <w:r w:rsidRPr="005C09EC">
              <w:rPr>
                <w:rFonts w:ascii="Arial" w:hAnsi="Arial" w:cs="Arial"/>
                <w:sz w:val="16"/>
                <w:szCs w:val="16"/>
              </w:rPr>
              <w:t>ales from Pickett Mt. project</w:t>
            </w:r>
          </w:p>
        </w:tc>
        <w:tc>
          <w:tcPr>
            <w:tcW w:w="1843" w:type="dxa"/>
            <w:tcBorders>
              <w:bottom w:val="nil"/>
            </w:tcBorders>
            <w:vAlign w:val="bottom"/>
          </w:tcPr>
          <w:p w14:paraId="26DA91B1" w14:textId="56CCC5DD" w:rsidR="00CE528F" w:rsidRPr="00A10E12" w:rsidRDefault="00F62A86" w:rsidP="00CE528F">
            <w:pPr>
              <w:jc w:val="right"/>
              <w:rPr>
                <w:rFonts w:ascii="Arial" w:hAnsi="Arial" w:cs="Arial"/>
                <w:b/>
                <w:bCs/>
                <w:sz w:val="16"/>
                <w:szCs w:val="16"/>
              </w:rPr>
            </w:pPr>
            <w:r w:rsidRPr="00A10E12">
              <w:rPr>
                <w:rFonts w:ascii="Arial" w:hAnsi="Arial" w:cs="Arial"/>
                <w:b/>
                <w:bCs/>
                <w:sz w:val="16"/>
                <w:szCs w:val="16"/>
              </w:rPr>
              <w:t>-</w:t>
            </w:r>
          </w:p>
        </w:tc>
        <w:tc>
          <w:tcPr>
            <w:tcW w:w="1701" w:type="dxa"/>
            <w:tcBorders>
              <w:bottom w:val="nil"/>
              <w:right w:val="nil"/>
            </w:tcBorders>
            <w:vAlign w:val="bottom"/>
          </w:tcPr>
          <w:p w14:paraId="2A13FD68" w14:textId="64D31C7C" w:rsidR="00CE528F" w:rsidRPr="00A10E12" w:rsidRDefault="00CE528F" w:rsidP="00CE528F">
            <w:pPr>
              <w:jc w:val="right"/>
              <w:rPr>
                <w:rFonts w:ascii="Arial" w:hAnsi="Arial" w:cs="Arial"/>
                <w:sz w:val="16"/>
                <w:szCs w:val="16"/>
              </w:rPr>
            </w:pPr>
            <w:r w:rsidRPr="00A10E12">
              <w:rPr>
                <w:rFonts w:ascii="Arial" w:hAnsi="Arial" w:cs="Arial"/>
                <w:bCs/>
                <w:sz w:val="16"/>
                <w:szCs w:val="16"/>
              </w:rPr>
              <w:t>1,267,430</w:t>
            </w:r>
          </w:p>
        </w:tc>
      </w:tr>
      <w:tr w:rsidR="00CE528F" w:rsidRPr="005C09EC" w14:paraId="3A27ACFB" w14:textId="77777777" w:rsidTr="004A4E1A">
        <w:trPr>
          <w:trHeight w:val="249"/>
        </w:trPr>
        <w:tc>
          <w:tcPr>
            <w:tcW w:w="4441" w:type="dxa"/>
            <w:tcBorders>
              <w:top w:val="nil"/>
              <w:left w:val="nil"/>
              <w:bottom w:val="single" w:sz="4" w:space="0" w:color="auto"/>
            </w:tcBorders>
            <w:vAlign w:val="bottom"/>
          </w:tcPr>
          <w:p w14:paraId="395F951A" w14:textId="5FA5040D" w:rsidR="00CE528F" w:rsidRPr="005C09EC" w:rsidRDefault="00CE528F" w:rsidP="00CE528F">
            <w:pPr>
              <w:jc w:val="both"/>
            </w:pPr>
            <w:r w:rsidRPr="005C09EC">
              <w:rPr>
                <w:rFonts w:ascii="Arial" w:hAnsi="Arial" w:cs="Arial"/>
                <w:sz w:val="16"/>
                <w:szCs w:val="16"/>
              </w:rPr>
              <w:t xml:space="preserve">Other </w:t>
            </w:r>
            <w:r>
              <w:rPr>
                <w:rFonts w:ascii="Arial" w:hAnsi="Arial" w:cs="Arial"/>
                <w:sz w:val="16"/>
                <w:szCs w:val="16"/>
              </w:rPr>
              <w:t>I</w:t>
            </w:r>
            <w:r w:rsidRPr="005C09EC">
              <w:rPr>
                <w:rFonts w:ascii="Arial" w:hAnsi="Arial" w:cs="Arial"/>
                <w:sz w:val="16"/>
                <w:szCs w:val="16"/>
              </w:rPr>
              <w:t>tems</w:t>
            </w:r>
          </w:p>
        </w:tc>
        <w:tc>
          <w:tcPr>
            <w:tcW w:w="1843" w:type="dxa"/>
            <w:tcBorders>
              <w:top w:val="nil"/>
              <w:bottom w:val="single" w:sz="4" w:space="0" w:color="auto"/>
            </w:tcBorders>
            <w:vAlign w:val="bottom"/>
          </w:tcPr>
          <w:p w14:paraId="22E7D2B9" w14:textId="62E9E131" w:rsidR="00CE528F" w:rsidRPr="008405CA" w:rsidRDefault="003B2CC3" w:rsidP="00CE528F">
            <w:pPr>
              <w:jc w:val="right"/>
              <w:rPr>
                <w:rFonts w:ascii="Arial" w:hAnsi="Arial" w:cs="Arial"/>
                <w:b/>
                <w:bCs/>
                <w:sz w:val="16"/>
                <w:szCs w:val="16"/>
              </w:rPr>
            </w:pPr>
            <w:r>
              <w:rPr>
                <w:rFonts w:ascii="Arial" w:hAnsi="Arial" w:cs="Arial"/>
                <w:b/>
                <w:bCs/>
                <w:sz w:val="16"/>
                <w:szCs w:val="16"/>
              </w:rPr>
              <w:t>-</w:t>
            </w:r>
          </w:p>
        </w:tc>
        <w:tc>
          <w:tcPr>
            <w:tcW w:w="1701" w:type="dxa"/>
            <w:tcBorders>
              <w:top w:val="nil"/>
              <w:bottom w:val="single" w:sz="4" w:space="0" w:color="auto"/>
              <w:right w:val="nil"/>
            </w:tcBorders>
            <w:vAlign w:val="bottom"/>
          </w:tcPr>
          <w:p w14:paraId="328BD99A" w14:textId="27DA9E67" w:rsidR="00CE528F" w:rsidRPr="00A10E12" w:rsidRDefault="00766061" w:rsidP="00CE528F">
            <w:pPr>
              <w:jc w:val="right"/>
              <w:rPr>
                <w:rFonts w:ascii="Arial" w:hAnsi="Arial" w:cs="Arial"/>
                <w:sz w:val="16"/>
                <w:szCs w:val="16"/>
              </w:rPr>
            </w:pPr>
            <w:r>
              <w:rPr>
                <w:rFonts w:ascii="Arial" w:hAnsi="Arial" w:cs="Arial"/>
                <w:sz w:val="16"/>
                <w:szCs w:val="16"/>
              </w:rPr>
              <w:t>4,170</w:t>
            </w:r>
          </w:p>
        </w:tc>
      </w:tr>
      <w:tr w:rsidR="00902654" w14:paraId="7623E9B8" w14:textId="77777777" w:rsidTr="00F51C2B">
        <w:trPr>
          <w:trHeight w:val="249"/>
        </w:trPr>
        <w:tc>
          <w:tcPr>
            <w:tcW w:w="4441" w:type="dxa"/>
            <w:tcBorders>
              <w:top w:val="single" w:sz="4" w:space="0" w:color="auto"/>
              <w:left w:val="nil"/>
              <w:bottom w:val="single" w:sz="4" w:space="0" w:color="auto"/>
            </w:tcBorders>
            <w:vAlign w:val="bottom"/>
          </w:tcPr>
          <w:p w14:paraId="03423901" w14:textId="4FF8CB92" w:rsidR="00902654" w:rsidRPr="005C09EC" w:rsidRDefault="00CF6EC1">
            <w:pPr>
              <w:jc w:val="both"/>
              <w:rPr>
                <w:rFonts w:ascii="Arial" w:hAnsi="Arial" w:cs="Arial"/>
                <w:sz w:val="16"/>
                <w:szCs w:val="16"/>
              </w:rPr>
            </w:pPr>
            <w:r w:rsidRPr="005C09EC">
              <w:rPr>
                <w:rFonts w:ascii="Arial" w:hAnsi="Arial" w:cs="Arial"/>
                <w:sz w:val="16"/>
                <w:szCs w:val="16"/>
              </w:rPr>
              <w:t>Total Other Income</w:t>
            </w:r>
          </w:p>
        </w:tc>
        <w:tc>
          <w:tcPr>
            <w:tcW w:w="1843" w:type="dxa"/>
            <w:tcBorders>
              <w:top w:val="single" w:sz="4" w:space="0" w:color="auto"/>
              <w:bottom w:val="single" w:sz="4" w:space="0" w:color="auto"/>
            </w:tcBorders>
            <w:vAlign w:val="bottom"/>
          </w:tcPr>
          <w:p w14:paraId="1E9199C8" w14:textId="1F814ECB" w:rsidR="00902654" w:rsidRPr="00F62A86" w:rsidRDefault="003B2CC3" w:rsidP="004D6755">
            <w:pPr>
              <w:jc w:val="right"/>
              <w:rPr>
                <w:rFonts w:ascii="Arial" w:hAnsi="Arial" w:cs="Arial"/>
                <w:b/>
                <w:bCs/>
                <w:sz w:val="16"/>
                <w:szCs w:val="16"/>
              </w:rPr>
            </w:pPr>
            <w:r>
              <w:rPr>
                <w:rFonts w:ascii="Arial" w:hAnsi="Arial" w:cs="Arial"/>
                <w:b/>
                <w:bCs/>
                <w:sz w:val="16"/>
                <w:szCs w:val="16"/>
              </w:rPr>
              <w:t>15,000</w:t>
            </w:r>
          </w:p>
        </w:tc>
        <w:tc>
          <w:tcPr>
            <w:tcW w:w="1701" w:type="dxa"/>
            <w:tcBorders>
              <w:top w:val="single" w:sz="4" w:space="0" w:color="auto"/>
              <w:bottom w:val="single" w:sz="4" w:space="0" w:color="auto"/>
              <w:right w:val="nil"/>
            </w:tcBorders>
            <w:vAlign w:val="bottom"/>
          </w:tcPr>
          <w:p w14:paraId="52C54CE6" w14:textId="367B7F82" w:rsidR="00902654" w:rsidRPr="00CE528F" w:rsidRDefault="00CE528F" w:rsidP="00CF6EC1">
            <w:pPr>
              <w:jc w:val="right"/>
              <w:rPr>
                <w:rFonts w:ascii="Arial" w:hAnsi="Arial" w:cs="Arial"/>
                <w:sz w:val="16"/>
                <w:szCs w:val="16"/>
              </w:rPr>
            </w:pPr>
            <w:r w:rsidRPr="00CE528F">
              <w:rPr>
                <w:rFonts w:ascii="Arial" w:hAnsi="Arial" w:cs="Arial"/>
                <w:bCs/>
                <w:sz w:val="16"/>
                <w:szCs w:val="16"/>
              </w:rPr>
              <w:t>1,51</w:t>
            </w:r>
            <w:r w:rsidR="00D8506A">
              <w:rPr>
                <w:rFonts w:ascii="Arial" w:hAnsi="Arial" w:cs="Arial"/>
                <w:bCs/>
                <w:sz w:val="16"/>
                <w:szCs w:val="16"/>
              </w:rPr>
              <w:t>5,50</w:t>
            </w:r>
            <w:r w:rsidRPr="00CE528F">
              <w:rPr>
                <w:rFonts w:ascii="Arial" w:hAnsi="Arial" w:cs="Arial"/>
                <w:bCs/>
                <w:sz w:val="16"/>
                <w:szCs w:val="16"/>
              </w:rPr>
              <w:t>0</w:t>
            </w:r>
          </w:p>
        </w:tc>
      </w:tr>
    </w:tbl>
    <w:p w14:paraId="6F246AD3" w14:textId="77777777" w:rsidR="008F14B3" w:rsidRPr="002A7614" w:rsidRDefault="008F14B3" w:rsidP="008F14B3">
      <w:pPr>
        <w:pStyle w:val="BodyText"/>
        <w:spacing w:before="10"/>
        <w:rPr>
          <w:rFonts w:ascii="Arial" w:hAnsi="Arial"/>
          <w:b/>
          <w:sz w:val="18"/>
        </w:rPr>
      </w:pPr>
    </w:p>
    <w:p w14:paraId="7C486CB2" w14:textId="77777777" w:rsidR="008F14B3" w:rsidRPr="002A7614" w:rsidRDefault="008F14B3" w:rsidP="008F14B3">
      <w:pPr>
        <w:pStyle w:val="BodyText"/>
        <w:spacing w:before="10"/>
        <w:rPr>
          <w:rFonts w:ascii="Arial" w:hAnsi="Arial"/>
          <w:b/>
          <w:sz w:val="18"/>
        </w:rPr>
      </w:pPr>
    </w:p>
    <w:p w14:paraId="2F831CBF" w14:textId="70ECAE34" w:rsidR="00A5315A" w:rsidRPr="00A10E12" w:rsidRDefault="00A5315A" w:rsidP="00A15174">
      <w:pPr>
        <w:pStyle w:val="Heading3"/>
        <w:numPr>
          <w:ilvl w:val="0"/>
          <w:numId w:val="23"/>
        </w:numPr>
        <w:tabs>
          <w:tab w:val="left" w:pos="1103"/>
        </w:tabs>
        <w:rPr>
          <w:rFonts w:ascii="Arial" w:hAnsi="Arial" w:cs="Arial"/>
          <w:sz w:val="16"/>
          <w:szCs w:val="16"/>
        </w:rPr>
      </w:pPr>
      <w:r w:rsidRPr="00E87F22">
        <w:rPr>
          <w:rFonts w:ascii="Arial" w:hAnsi="Arial" w:cs="Arial"/>
          <w:sz w:val="16"/>
          <w:szCs w:val="16"/>
        </w:rPr>
        <w:t>FINANCIAL INSTRUMENTS AND RELATED</w:t>
      </w:r>
      <w:r w:rsidRPr="00E87F22">
        <w:rPr>
          <w:rFonts w:ascii="Arial" w:hAnsi="Arial" w:cs="Arial"/>
          <w:spacing w:val="-6"/>
          <w:sz w:val="16"/>
          <w:szCs w:val="16"/>
        </w:rPr>
        <w:t xml:space="preserve"> </w:t>
      </w:r>
      <w:r w:rsidRPr="00E87F22">
        <w:rPr>
          <w:rFonts w:ascii="Arial" w:hAnsi="Arial" w:cs="Arial"/>
          <w:sz w:val="16"/>
          <w:szCs w:val="16"/>
        </w:rPr>
        <w:t>RISKS</w:t>
      </w:r>
    </w:p>
    <w:p w14:paraId="53F2AA65" w14:textId="77777777" w:rsidR="00A5315A" w:rsidRPr="002A7614" w:rsidRDefault="00A5315A" w:rsidP="00A5315A">
      <w:pPr>
        <w:pStyle w:val="BodyText"/>
        <w:spacing w:before="10"/>
        <w:rPr>
          <w:rFonts w:ascii="Arial" w:hAnsi="Arial"/>
          <w:b/>
          <w:sz w:val="18"/>
        </w:rPr>
      </w:pPr>
    </w:p>
    <w:p w14:paraId="5BA43C45" w14:textId="48BE1469" w:rsidR="00186912" w:rsidRDefault="00A5315A" w:rsidP="00A5315A">
      <w:pPr>
        <w:pStyle w:val="BodyText"/>
        <w:ind w:left="800" w:right="777"/>
        <w:jc w:val="both"/>
        <w:rPr>
          <w:rFonts w:ascii="Arial" w:hAnsi="Arial" w:cs="Arial"/>
        </w:rPr>
      </w:pPr>
      <w:r w:rsidRPr="00F56223">
        <w:rPr>
          <w:rFonts w:ascii="Arial" w:hAnsi="Arial" w:cs="Arial"/>
        </w:rPr>
        <w:t>The Corporation's operations include the acquisition and exploration of mineral properties in Canada</w:t>
      </w:r>
      <w:r w:rsidR="003B2CC3">
        <w:rPr>
          <w:rFonts w:ascii="Arial" w:hAnsi="Arial" w:cs="Arial"/>
        </w:rPr>
        <w:t xml:space="preserve"> and the United States</w:t>
      </w:r>
      <w:r w:rsidRPr="00F56223">
        <w:rPr>
          <w:rFonts w:ascii="Arial" w:hAnsi="Arial" w:cs="Arial"/>
        </w:rPr>
        <w:t xml:space="preserve">. The Corporation examines the various financial risks to which it is exposed and assesses the impact and likelihood of occurrence. These risks may include </w:t>
      </w:r>
    </w:p>
    <w:p w14:paraId="5E5C8689" w14:textId="77777777" w:rsidR="00186912" w:rsidRDefault="00186912" w:rsidP="00A5315A">
      <w:pPr>
        <w:pStyle w:val="BodyText"/>
        <w:ind w:left="800" w:right="777"/>
        <w:jc w:val="both"/>
        <w:rPr>
          <w:rFonts w:ascii="Arial" w:hAnsi="Arial" w:cs="Arial"/>
        </w:rPr>
      </w:pPr>
    </w:p>
    <w:p w14:paraId="1F7FCAD2" w14:textId="46A90CCA" w:rsidR="00A5315A" w:rsidRDefault="00A5315A" w:rsidP="00A5315A">
      <w:pPr>
        <w:pStyle w:val="BodyText"/>
        <w:ind w:left="800" w:right="777"/>
        <w:jc w:val="both"/>
        <w:rPr>
          <w:rFonts w:ascii="Arial" w:hAnsi="Arial" w:cs="Arial"/>
        </w:rPr>
      </w:pPr>
      <w:r w:rsidRPr="00F56223">
        <w:rPr>
          <w:rFonts w:ascii="Arial" w:hAnsi="Arial" w:cs="Arial"/>
        </w:rPr>
        <w:t>credit risk, liquidity risk, currency risk, interest rate risk and other risks. Where material, these risks are reviewed and monitored by the Board of Directors.</w:t>
      </w:r>
    </w:p>
    <w:p w14:paraId="254BDF79" w14:textId="77777777" w:rsidR="00186912" w:rsidRDefault="00186912" w:rsidP="00A5315A">
      <w:pPr>
        <w:pStyle w:val="BodyText"/>
        <w:ind w:left="800" w:right="777"/>
        <w:jc w:val="both"/>
        <w:rPr>
          <w:rFonts w:ascii="Arial" w:hAnsi="Arial" w:cs="Arial"/>
        </w:rPr>
      </w:pPr>
    </w:p>
    <w:p w14:paraId="61AA7037" w14:textId="77777777" w:rsidR="00186912" w:rsidRPr="00F56223" w:rsidRDefault="00186912" w:rsidP="00186912">
      <w:pPr>
        <w:ind w:left="800"/>
        <w:jc w:val="both"/>
        <w:rPr>
          <w:rFonts w:ascii="Arial" w:hAnsi="Arial" w:cs="Arial"/>
          <w:i/>
          <w:sz w:val="16"/>
        </w:rPr>
      </w:pPr>
      <w:r w:rsidRPr="00F56223">
        <w:rPr>
          <w:rFonts w:ascii="Arial" w:hAnsi="Arial" w:cs="Arial"/>
          <w:i/>
          <w:sz w:val="16"/>
        </w:rPr>
        <w:t>Credit risk</w:t>
      </w:r>
    </w:p>
    <w:p w14:paraId="629FE45E" w14:textId="77777777" w:rsidR="00186912" w:rsidRPr="00F56223" w:rsidRDefault="00186912" w:rsidP="00186912">
      <w:pPr>
        <w:pStyle w:val="BodyText"/>
        <w:spacing w:before="2"/>
        <w:rPr>
          <w:rFonts w:ascii="Arial" w:hAnsi="Arial" w:cs="Arial"/>
          <w:i/>
        </w:rPr>
      </w:pPr>
    </w:p>
    <w:p w14:paraId="1FC3E84E" w14:textId="68AAF10B" w:rsidR="00934BE7" w:rsidRDefault="00186912" w:rsidP="00934BE7">
      <w:pPr>
        <w:pStyle w:val="BodyText"/>
        <w:ind w:left="800" w:right="777"/>
        <w:jc w:val="both"/>
        <w:rPr>
          <w:rFonts w:ascii="Arial" w:hAnsi="Arial" w:cs="Arial"/>
        </w:rPr>
      </w:pPr>
      <w:r w:rsidRPr="00F56223">
        <w:rPr>
          <w:rFonts w:ascii="Arial" w:hAnsi="Arial" w:cs="Arial"/>
        </w:rPr>
        <w:t xml:space="preserve">Counterparty credit risk is the risk that the financial benefits of contracts with a specific counterparty will be lost if a counterparty defaults on its obligations under the contract. This includes any cash amounts owed to the Corporation by those counterparties, less any amounts owed to the counterparty by the Corporation where a legal right of offset exists </w:t>
      </w:r>
      <w:proofErr w:type="gramStart"/>
      <w:r w:rsidRPr="00F56223">
        <w:rPr>
          <w:rFonts w:ascii="Arial" w:hAnsi="Arial" w:cs="Arial"/>
        </w:rPr>
        <w:t>and also</w:t>
      </w:r>
      <w:proofErr w:type="gramEnd"/>
      <w:r w:rsidRPr="00F56223">
        <w:rPr>
          <w:rFonts w:ascii="Arial" w:hAnsi="Arial" w:cs="Arial"/>
        </w:rPr>
        <w:t xml:space="preserve"> includes the fair values of contracts with individual counterparties which are recorded in the financial statements.</w:t>
      </w:r>
      <w:r w:rsidR="00934BE7">
        <w:rPr>
          <w:rFonts w:ascii="Arial" w:hAnsi="Arial" w:cs="Arial"/>
        </w:rPr>
        <w:t xml:space="preserve"> The Corporation manages the credit risk of cash by maintaining bank accounts and term deposits with Schedule </w:t>
      </w:r>
      <w:r w:rsidR="0051231F">
        <w:rPr>
          <w:rFonts w:ascii="Arial" w:hAnsi="Arial" w:cs="Arial"/>
        </w:rPr>
        <w:t>1 Canadian Banks based in Canada and the United States.</w:t>
      </w:r>
    </w:p>
    <w:p w14:paraId="4B79D71E" w14:textId="77777777" w:rsidR="00186912" w:rsidRDefault="00186912" w:rsidP="00186912">
      <w:pPr>
        <w:pStyle w:val="BodyText"/>
        <w:ind w:left="800" w:right="777"/>
        <w:jc w:val="both"/>
        <w:rPr>
          <w:rFonts w:ascii="Arial" w:hAnsi="Arial"/>
          <w:i/>
        </w:rPr>
      </w:pPr>
    </w:p>
    <w:p w14:paraId="7458696A" w14:textId="1EA217DA" w:rsidR="00186912" w:rsidRPr="00067550" w:rsidRDefault="00186912" w:rsidP="00186912">
      <w:pPr>
        <w:pStyle w:val="BodyText"/>
        <w:ind w:left="800" w:right="777"/>
        <w:jc w:val="both"/>
        <w:rPr>
          <w:rFonts w:ascii="Arial" w:hAnsi="Arial" w:cs="Arial"/>
          <w:i/>
          <w:iCs/>
        </w:rPr>
      </w:pPr>
      <w:r w:rsidRPr="002A7614">
        <w:rPr>
          <w:rFonts w:ascii="Arial" w:hAnsi="Arial"/>
          <w:i/>
        </w:rPr>
        <w:t>Trade credit risk</w:t>
      </w:r>
      <w:r w:rsidRPr="00067550">
        <w:rPr>
          <w:rFonts w:ascii="Arial" w:hAnsi="Arial" w:cs="Arial"/>
          <w:i/>
          <w:iCs/>
        </w:rPr>
        <w:t xml:space="preserve"> </w:t>
      </w:r>
    </w:p>
    <w:p w14:paraId="7ED100D0" w14:textId="77777777" w:rsidR="00186912" w:rsidRDefault="00186912" w:rsidP="00186912">
      <w:pPr>
        <w:pStyle w:val="BodyText"/>
        <w:ind w:left="800" w:right="777"/>
        <w:jc w:val="both"/>
        <w:rPr>
          <w:rFonts w:ascii="Arial" w:hAnsi="Arial" w:cs="Arial"/>
        </w:rPr>
      </w:pPr>
    </w:p>
    <w:p w14:paraId="33192EC3" w14:textId="77777777" w:rsidR="00186912" w:rsidRPr="003E2F5A" w:rsidRDefault="00186912" w:rsidP="00186912">
      <w:pPr>
        <w:pStyle w:val="BodyText"/>
        <w:ind w:left="800" w:right="777"/>
        <w:jc w:val="both"/>
        <w:rPr>
          <w:rFonts w:ascii="Arial" w:hAnsi="Arial" w:cs="Arial"/>
        </w:rPr>
      </w:pPr>
      <w:r w:rsidRPr="002A7614">
        <w:rPr>
          <w:rFonts w:ascii="Arial" w:hAnsi="Arial"/>
        </w:rPr>
        <w:t xml:space="preserve">The </w:t>
      </w:r>
      <w:r>
        <w:rPr>
          <w:rFonts w:ascii="Arial" w:hAnsi="Arial" w:cs="Arial"/>
        </w:rPr>
        <w:t>Corporation</w:t>
      </w:r>
      <w:r w:rsidRPr="002A7614">
        <w:rPr>
          <w:rFonts w:ascii="Arial" w:hAnsi="Arial"/>
        </w:rPr>
        <w:t xml:space="preserve"> closely monitors its financial assets and does not have any significant concentration of trade credit risk. The historical level of defaults is negligible and, as a result, the credit risk associated with trade receivables is considered to be negligible. Accounts receivable is made up of recoverable taxes which is deemed collectable and minimal risk.</w:t>
      </w:r>
    </w:p>
    <w:p w14:paraId="6823CAC6" w14:textId="77777777" w:rsidR="00186912" w:rsidRDefault="00186912" w:rsidP="00186912">
      <w:pPr>
        <w:spacing w:before="1"/>
        <w:ind w:left="800"/>
        <w:jc w:val="both"/>
        <w:rPr>
          <w:rFonts w:ascii="Arial" w:hAnsi="Arial" w:cs="Arial"/>
          <w:i/>
          <w:sz w:val="16"/>
        </w:rPr>
      </w:pPr>
    </w:p>
    <w:p w14:paraId="40270943" w14:textId="77777777" w:rsidR="00186912" w:rsidRPr="00F56223" w:rsidRDefault="00186912" w:rsidP="00186912">
      <w:pPr>
        <w:spacing w:before="1"/>
        <w:ind w:left="800"/>
        <w:jc w:val="both"/>
        <w:rPr>
          <w:rFonts w:ascii="Arial" w:hAnsi="Arial" w:cs="Arial"/>
          <w:i/>
          <w:sz w:val="16"/>
        </w:rPr>
      </w:pPr>
      <w:r w:rsidRPr="00F56223">
        <w:rPr>
          <w:rFonts w:ascii="Arial" w:hAnsi="Arial" w:cs="Arial"/>
          <w:i/>
          <w:sz w:val="16"/>
        </w:rPr>
        <w:t>Liquidity risk</w:t>
      </w:r>
    </w:p>
    <w:p w14:paraId="349B286E" w14:textId="77777777" w:rsidR="00186912" w:rsidRPr="00F56223" w:rsidRDefault="00186912" w:rsidP="00186912">
      <w:pPr>
        <w:pStyle w:val="BodyText"/>
        <w:spacing w:before="1"/>
        <w:rPr>
          <w:rFonts w:ascii="Arial" w:hAnsi="Arial" w:cs="Arial"/>
          <w:i/>
        </w:rPr>
      </w:pPr>
    </w:p>
    <w:p w14:paraId="3F6ADCAD" w14:textId="77777777" w:rsidR="00186912" w:rsidRPr="00F56223" w:rsidRDefault="00186912" w:rsidP="00186912">
      <w:pPr>
        <w:pStyle w:val="BodyText"/>
        <w:ind w:left="800" w:right="779"/>
        <w:jc w:val="both"/>
        <w:rPr>
          <w:rFonts w:ascii="Arial" w:hAnsi="Arial" w:cs="Arial"/>
        </w:rPr>
      </w:pPr>
      <w:r w:rsidRPr="00F56223">
        <w:rPr>
          <w:rFonts w:ascii="Arial" w:hAnsi="Arial" w:cs="Arial"/>
        </w:rPr>
        <w:t>Liquidity risk is the risk that the Corporation will not be able to meet its financial obligations as they fall due.  The Corporation manages liquidity risk through the management of its capital</w:t>
      </w:r>
      <w:r w:rsidRPr="00F56223">
        <w:rPr>
          <w:rFonts w:ascii="Arial" w:hAnsi="Arial" w:cs="Arial"/>
          <w:spacing w:val="6"/>
        </w:rPr>
        <w:t xml:space="preserve"> </w:t>
      </w:r>
      <w:r w:rsidRPr="00F56223">
        <w:rPr>
          <w:rFonts w:ascii="Arial" w:hAnsi="Arial" w:cs="Arial"/>
        </w:rPr>
        <w:t>structure.</w:t>
      </w:r>
    </w:p>
    <w:p w14:paraId="01A0B517" w14:textId="77777777" w:rsidR="00186912" w:rsidRPr="00F56223" w:rsidRDefault="00186912" w:rsidP="00186912">
      <w:pPr>
        <w:pStyle w:val="BodyText"/>
        <w:spacing w:before="3"/>
        <w:rPr>
          <w:rFonts w:ascii="Arial" w:hAnsi="Arial" w:cs="Arial"/>
        </w:rPr>
      </w:pPr>
    </w:p>
    <w:p w14:paraId="0D4FD779" w14:textId="77777777" w:rsidR="00186912" w:rsidRPr="00F56223" w:rsidRDefault="00186912" w:rsidP="00186912">
      <w:pPr>
        <w:pStyle w:val="BodyText"/>
        <w:ind w:left="800"/>
        <w:jc w:val="both"/>
        <w:rPr>
          <w:rFonts w:ascii="Arial" w:hAnsi="Arial" w:cs="Arial"/>
        </w:rPr>
      </w:pPr>
      <w:r w:rsidRPr="00F56223">
        <w:rPr>
          <w:rFonts w:ascii="Arial" w:hAnsi="Arial" w:cs="Arial"/>
        </w:rPr>
        <w:t>Accounts payable and accrued liabilities are due within the current operating period.</w:t>
      </w:r>
    </w:p>
    <w:p w14:paraId="4B0A0590" w14:textId="77777777" w:rsidR="00186912" w:rsidRPr="00F56223" w:rsidRDefault="00186912" w:rsidP="00186912">
      <w:pPr>
        <w:pStyle w:val="BodyText"/>
        <w:spacing w:before="1"/>
        <w:rPr>
          <w:rFonts w:ascii="Arial" w:hAnsi="Arial" w:cs="Arial"/>
        </w:rPr>
      </w:pPr>
    </w:p>
    <w:p w14:paraId="5A844B07" w14:textId="77777777" w:rsidR="00186912" w:rsidRPr="00F56223" w:rsidRDefault="00186912" w:rsidP="00186912">
      <w:pPr>
        <w:ind w:left="800"/>
        <w:jc w:val="both"/>
        <w:rPr>
          <w:rFonts w:ascii="Arial" w:hAnsi="Arial" w:cs="Arial"/>
          <w:i/>
          <w:sz w:val="16"/>
        </w:rPr>
      </w:pPr>
      <w:r w:rsidRPr="00F56223">
        <w:rPr>
          <w:rFonts w:ascii="Arial" w:hAnsi="Arial" w:cs="Arial"/>
          <w:i/>
          <w:sz w:val="16"/>
        </w:rPr>
        <w:t>Interest rate risk</w:t>
      </w:r>
    </w:p>
    <w:p w14:paraId="203F284E" w14:textId="77777777" w:rsidR="00186912" w:rsidRPr="00F56223" w:rsidRDefault="00186912" w:rsidP="00186912">
      <w:pPr>
        <w:pStyle w:val="BodyText"/>
        <w:spacing w:before="2"/>
        <w:rPr>
          <w:rFonts w:ascii="Arial" w:hAnsi="Arial" w:cs="Arial"/>
          <w:i/>
        </w:rPr>
      </w:pPr>
    </w:p>
    <w:p w14:paraId="31FA0D3B" w14:textId="77777777" w:rsidR="00186912" w:rsidRPr="00F56223" w:rsidRDefault="00186912" w:rsidP="00186912">
      <w:pPr>
        <w:pStyle w:val="BodyText"/>
        <w:ind w:left="800" w:right="777"/>
        <w:jc w:val="both"/>
        <w:rPr>
          <w:rFonts w:ascii="Arial" w:hAnsi="Arial" w:cs="Arial"/>
        </w:rPr>
      </w:pPr>
      <w:r w:rsidRPr="00F56223">
        <w:rPr>
          <w:rFonts w:ascii="Arial" w:hAnsi="Arial" w:cs="Arial"/>
        </w:rPr>
        <w:t>Interest rate risk is the risk that the fair value or future cash flows of a financial instrument will fluctuate because of changes in market interest rates. The risk that the Corporation will realize a significant loss as a result of a decline in the fair market value is limited as the Corporation holds all of its funds in cash and guaranteed investment certificates.</w:t>
      </w:r>
    </w:p>
    <w:p w14:paraId="40942B54" w14:textId="77777777" w:rsidR="00A10E12" w:rsidRDefault="00A10E12" w:rsidP="00186912">
      <w:pPr>
        <w:ind w:left="800"/>
        <w:jc w:val="both"/>
        <w:rPr>
          <w:rFonts w:ascii="Arial" w:hAnsi="Arial" w:cs="Arial"/>
          <w:i/>
          <w:sz w:val="16"/>
        </w:rPr>
      </w:pPr>
    </w:p>
    <w:p w14:paraId="3503BE6C" w14:textId="2A23B84C" w:rsidR="00186912" w:rsidRPr="00F56223" w:rsidRDefault="00E87F22" w:rsidP="00186912">
      <w:pPr>
        <w:ind w:left="800"/>
        <w:jc w:val="both"/>
        <w:rPr>
          <w:rFonts w:ascii="Arial" w:hAnsi="Arial" w:cs="Arial"/>
          <w:i/>
          <w:sz w:val="16"/>
        </w:rPr>
      </w:pPr>
      <w:r>
        <w:rPr>
          <w:rFonts w:ascii="Arial" w:hAnsi="Arial" w:cs="Arial"/>
          <w:i/>
          <w:sz w:val="16"/>
        </w:rPr>
        <w:t>Foreign c</w:t>
      </w:r>
      <w:r w:rsidR="00186912" w:rsidRPr="00F56223">
        <w:rPr>
          <w:rFonts w:ascii="Arial" w:hAnsi="Arial" w:cs="Arial"/>
          <w:i/>
          <w:sz w:val="16"/>
        </w:rPr>
        <w:t>urrency</w:t>
      </w:r>
      <w:r>
        <w:rPr>
          <w:rFonts w:ascii="Arial" w:hAnsi="Arial" w:cs="Arial"/>
          <w:i/>
          <w:sz w:val="16"/>
        </w:rPr>
        <w:t xml:space="preserve"> exchange</w:t>
      </w:r>
      <w:r w:rsidR="00186912" w:rsidRPr="00F56223">
        <w:rPr>
          <w:rFonts w:ascii="Arial" w:hAnsi="Arial" w:cs="Arial"/>
          <w:i/>
          <w:sz w:val="16"/>
        </w:rPr>
        <w:t xml:space="preserve"> risk</w:t>
      </w:r>
    </w:p>
    <w:p w14:paraId="6BAD1118" w14:textId="77777777" w:rsidR="00186912" w:rsidRPr="00F56223" w:rsidRDefault="00186912" w:rsidP="00186912">
      <w:pPr>
        <w:pStyle w:val="BodyText"/>
        <w:spacing w:before="2"/>
        <w:rPr>
          <w:rFonts w:ascii="Arial" w:hAnsi="Arial" w:cs="Arial"/>
          <w:i/>
        </w:rPr>
      </w:pPr>
    </w:p>
    <w:p w14:paraId="6975BA15" w14:textId="2CF83E01" w:rsidR="00186912" w:rsidRDefault="00186912" w:rsidP="00186912">
      <w:pPr>
        <w:pStyle w:val="BodyText"/>
        <w:ind w:left="800" w:right="776"/>
        <w:jc w:val="both"/>
        <w:rPr>
          <w:rFonts w:ascii="Arial" w:hAnsi="Arial" w:cs="Arial"/>
        </w:rPr>
      </w:pPr>
      <w:r w:rsidRPr="00F56223">
        <w:rPr>
          <w:rFonts w:ascii="Arial" w:hAnsi="Arial" w:cs="Arial"/>
        </w:rPr>
        <w:t xml:space="preserve">The Corporation is exposed to the financial risk related to the fluctuation of foreign exchange rates. The functional and reporting currency of the Corporation is the Canadian dollar; however, it has operations located in the United States, and as such is subject to fluctuations in that currency. Changes in the currency exchange rates between the Canadian dollar relative to the US dollar could have an effect on the Corporation's results of operations, financial position or cash flows. The Corporation has not hedged its exposure to currency fluctuations. </w:t>
      </w:r>
    </w:p>
    <w:p w14:paraId="48ADCA25" w14:textId="77777777" w:rsidR="00E87F22" w:rsidRDefault="00E87F22" w:rsidP="00186912">
      <w:pPr>
        <w:pStyle w:val="BodyText"/>
        <w:ind w:left="800" w:right="776"/>
        <w:jc w:val="both"/>
        <w:rPr>
          <w:rFonts w:ascii="Arial" w:hAnsi="Arial" w:cs="Arial"/>
        </w:rPr>
      </w:pPr>
    </w:p>
    <w:p w14:paraId="58FAD907" w14:textId="4F94B7DE" w:rsidR="00E87F22" w:rsidRDefault="00E87F22" w:rsidP="00186912">
      <w:pPr>
        <w:pStyle w:val="BodyText"/>
        <w:ind w:left="800" w:right="776"/>
        <w:jc w:val="both"/>
        <w:rPr>
          <w:rFonts w:ascii="Arial" w:hAnsi="Arial" w:cs="Arial"/>
        </w:rPr>
      </w:pPr>
      <w:r>
        <w:rPr>
          <w:rFonts w:ascii="Arial" w:hAnsi="Arial" w:cs="Arial"/>
        </w:rPr>
        <w:t>The following table illustrates the sensitivity of expenses and equity in relation to fluctuations in the US dollar for the years ended December 31,2023 and 2022, with all other variables being constant.</w:t>
      </w:r>
    </w:p>
    <w:p w14:paraId="355AE812" w14:textId="77777777" w:rsidR="00E87F22" w:rsidRDefault="00E87F22" w:rsidP="00186912">
      <w:pPr>
        <w:pStyle w:val="BodyText"/>
        <w:ind w:left="800" w:right="776"/>
        <w:jc w:val="both"/>
        <w:rPr>
          <w:rFonts w:ascii="Arial" w:hAnsi="Arial" w:cs="Arial"/>
        </w:rPr>
      </w:pPr>
    </w:p>
    <w:tbl>
      <w:tblPr>
        <w:tblStyle w:val="TableGrid"/>
        <w:tblW w:w="0" w:type="auto"/>
        <w:tblInd w:w="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2948"/>
        <w:gridCol w:w="2949"/>
      </w:tblGrid>
      <w:tr w:rsidR="00E87F22" w14:paraId="18A87D94" w14:textId="77777777" w:rsidTr="001B40F0">
        <w:trPr>
          <w:trHeight w:val="243"/>
        </w:trPr>
        <w:tc>
          <w:tcPr>
            <w:tcW w:w="2949" w:type="dxa"/>
            <w:tcBorders>
              <w:bottom w:val="single" w:sz="4" w:space="0" w:color="auto"/>
            </w:tcBorders>
          </w:tcPr>
          <w:p w14:paraId="71B59A97" w14:textId="3EE8F807" w:rsidR="00E87F22" w:rsidRDefault="00E87F22" w:rsidP="00186912">
            <w:pPr>
              <w:pStyle w:val="BodyText"/>
              <w:ind w:right="776"/>
              <w:jc w:val="both"/>
              <w:rPr>
                <w:rFonts w:ascii="Arial" w:hAnsi="Arial" w:cs="Arial"/>
              </w:rPr>
            </w:pPr>
            <w:r>
              <w:rPr>
                <w:rFonts w:ascii="Arial" w:hAnsi="Arial" w:cs="Arial"/>
              </w:rPr>
              <w:t>Sensitivity analysis</w:t>
            </w:r>
          </w:p>
        </w:tc>
        <w:tc>
          <w:tcPr>
            <w:tcW w:w="2948" w:type="dxa"/>
            <w:tcBorders>
              <w:bottom w:val="single" w:sz="4" w:space="0" w:color="auto"/>
            </w:tcBorders>
          </w:tcPr>
          <w:p w14:paraId="5EF87DC7" w14:textId="7BF677DB" w:rsidR="00E87F22" w:rsidRDefault="00E87F22" w:rsidP="00186912">
            <w:pPr>
              <w:pStyle w:val="BodyText"/>
              <w:ind w:right="776"/>
              <w:jc w:val="both"/>
              <w:rPr>
                <w:rFonts w:ascii="Arial" w:hAnsi="Arial" w:cs="Arial"/>
              </w:rPr>
            </w:pPr>
            <w:r>
              <w:rPr>
                <w:rFonts w:ascii="Arial" w:hAnsi="Arial" w:cs="Arial"/>
              </w:rPr>
              <w:t>Change</w:t>
            </w:r>
          </w:p>
        </w:tc>
        <w:tc>
          <w:tcPr>
            <w:tcW w:w="2949" w:type="dxa"/>
            <w:tcBorders>
              <w:bottom w:val="single" w:sz="4" w:space="0" w:color="auto"/>
            </w:tcBorders>
          </w:tcPr>
          <w:p w14:paraId="7DFE1CEC" w14:textId="24767BAC" w:rsidR="00E87F22" w:rsidRDefault="00E87F22" w:rsidP="00186912">
            <w:pPr>
              <w:pStyle w:val="BodyText"/>
              <w:ind w:right="776"/>
              <w:jc w:val="both"/>
              <w:rPr>
                <w:rFonts w:ascii="Arial" w:hAnsi="Arial" w:cs="Arial"/>
              </w:rPr>
            </w:pPr>
            <w:r>
              <w:rPr>
                <w:rFonts w:ascii="Arial" w:hAnsi="Arial" w:cs="Arial"/>
              </w:rPr>
              <w:t>Impact</w:t>
            </w:r>
          </w:p>
        </w:tc>
      </w:tr>
      <w:tr w:rsidR="00E87F22" w14:paraId="085A4C29" w14:textId="77777777" w:rsidTr="001B40F0">
        <w:trPr>
          <w:trHeight w:val="243"/>
        </w:trPr>
        <w:tc>
          <w:tcPr>
            <w:tcW w:w="2949" w:type="dxa"/>
            <w:tcBorders>
              <w:top w:val="single" w:sz="4" w:space="0" w:color="auto"/>
            </w:tcBorders>
          </w:tcPr>
          <w:p w14:paraId="12E6435A" w14:textId="7F6234C1" w:rsidR="00E87F22" w:rsidRDefault="00E87F22" w:rsidP="00186912">
            <w:pPr>
              <w:pStyle w:val="BodyText"/>
              <w:ind w:right="776"/>
              <w:jc w:val="both"/>
              <w:rPr>
                <w:rFonts w:ascii="Arial" w:hAnsi="Arial" w:cs="Arial"/>
              </w:rPr>
            </w:pPr>
            <w:r>
              <w:rPr>
                <w:rFonts w:ascii="Arial" w:hAnsi="Arial" w:cs="Arial"/>
              </w:rPr>
              <w:t>2023</w:t>
            </w:r>
          </w:p>
        </w:tc>
        <w:tc>
          <w:tcPr>
            <w:tcW w:w="2948" w:type="dxa"/>
            <w:tcBorders>
              <w:top w:val="single" w:sz="4" w:space="0" w:color="auto"/>
            </w:tcBorders>
          </w:tcPr>
          <w:p w14:paraId="26B28A18" w14:textId="3587A7B2" w:rsidR="00E87F22" w:rsidRDefault="00E87F22" w:rsidP="00186912">
            <w:pPr>
              <w:pStyle w:val="BodyText"/>
              <w:ind w:right="776"/>
              <w:jc w:val="both"/>
              <w:rPr>
                <w:rFonts w:ascii="Arial" w:hAnsi="Arial" w:cs="Arial"/>
              </w:rPr>
            </w:pPr>
            <w:r>
              <w:rPr>
                <w:rFonts w:ascii="Arial" w:hAnsi="Arial" w:cs="Arial"/>
              </w:rPr>
              <w:t>+/-10%</w:t>
            </w:r>
          </w:p>
        </w:tc>
        <w:tc>
          <w:tcPr>
            <w:tcW w:w="2949" w:type="dxa"/>
            <w:tcBorders>
              <w:top w:val="single" w:sz="4" w:space="0" w:color="auto"/>
            </w:tcBorders>
          </w:tcPr>
          <w:p w14:paraId="2A688F9D" w14:textId="4F8195AE" w:rsidR="00E87F22" w:rsidRDefault="001B40F0" w:rsidP="00186912">
            <w:pPr>
              <w:pStyle w:val="BodyText"/>
              <w:ind w:right="776"/>
              <w:jc w:val="both"/>
              <w:rPr>
                <w:rFonts w:ascii="Arial" w:hAnsi="Arial" w:cs="Arial"/>
              </w:rPr>
            </w:pPr>
            <w:r>
              <w:rPr>
                <w:rFonts w:ascii="Arial" w:hAnsi="Arial" w:cs="Arial"/>
              </w:rPr>
              <w:t>$</w:t>
            </w:r>
            <w:proofErr w:type="gramStart"/>
            <w:r>
              <w:rPr>
                <w:rFonts w:ascii="Arial" w:hAnsi="Arial" w:cs="Arial"/>
              </w:rPr>
              <w:t xml:space="preserve">   </w:t>
            </w:r>
            <w:r w:rsidR="00E03D91">
              <w:rPr>
                <w:rFonts w:ascii="Arial" w:hAnsi="Arial" w:cs="Arial"/>
              </w:rPr>
              <w:t>(</w:t>
            </w:r>
            <w:proofErr w:type="gramEnd"/>
            <w:r>
              <w:rPr>
                <w:rFonts w:ascii="Arial" w:hAnsi="Arial" w:cs="Arial"/>
              </w:rPr>
              <w:t>104,000</w:t>
            </w:r>
            <w:r w:rsidR="00E03D91">
              <w:rPr>
                <w:rFonts w:ascii="Arial" w:hAnsi="Arial" w:cs="Arial"/>
              </w:rPr>
              <w:t>)</w:t>
            </w:r>
          </w:p>
        </w:tc>
      </w:tr>
      <w:tr w:rsidR="00E87F22" w14:paraId="0B1B4192" w14:textId="77777777" w:rsidTr="001B40F0">
        <w:trPr>
          <w:trHeight w:val="243"/>
        </w:trPr>
        <w:tc>
          <w:tcPr>
            <w:tcW w:w="2949" w:type="dxa"/>
            <w:tcBorders>
              <w:bottom w:val="single" w:sz="4" w:space="0" w:color="auto"/>
            </w:tcBorders>
          </w:tcPr>
          <w:p w14:paraId="0B28775F" w14:textId="49CFDA93" w:rsidR="00E87F22" w:rsidRDefault="00E87F22" w:rsidP="00186912">
            <w:pPr>
              <w:pStyle w:val="BodyText"/>
              <w:ind w:right="776"/>
              <w:jc w:val="both"/>
              <w:rPr>
                <w:rFonts w:ascii="Arial" w:hAnsi="Arial" w:cs="Arial"/>
              </w:rPr>
            </w:pPr>
            <w:r>
              <w:rPr>
                <w:rFonts w:ascii="Arial" w:hAnsi="Arial" w:cs="Arial"/>
              </w:rPr>
              <w:t>2022</w:t>
            </w:r>
          </w:p>
        </w:tc>
        <w:tc>
          <w:tcPr>
            <w:tcW w:w="2948" w:type="dxa"/>
            <w:tcBorders>
              <w:bottom w:val="single" w:sz="4" w:space="0" w:color="auto"/>
            </w:tcBorders>
          </w:tcPr>
          <w:p w14:paraId="2A782D03" w14:textId="28969360" w:rsidR="00E87F22" w:rsidRDefault="00E87F22" w:rsidP="00186912">
            <w:pPr>
              <w:pStyle w:val="BodyText"/>
              <w:ind w:right="776"/>
              <w:jc w:val="both"/>
              <w:rPr>
                <w:rFonts w:ascii="Arial" w:hAnsi="Arial" w:cs="Arial"/>
              </w:rPr>
            </w:pPr>
            <w:r>
              <w:rPr>
                <w:rFonts w:ascii="Arial" w:hAnsi="Arial" w:cs="Arial"/>
              </w:rPr>
              <w:t>+/-10%</w:t>
            </w:r>
          </w:p>
        </w:tc>
        <w:tc>
          <w:tcPr>
            <w:tcW w:w="2949" w:type="dxa"/>
            <w:tcBorders>
              <w:bottom w:val="single" w:sz="4" w:space="0" w:color="auto"/>
            </w:tcBorders>
          </w:tcPr>
          <w:p w14:paraId="5F639A17" w14:textId="39581685" w:rsidR="00E87F22" w:rsidRDefault="001B40F0" w:rsidP="00186912">
            <w:pPr>
              <w:pStyle w:val="BodyText"/>
              <w:ind w:right="776"/>
              <w:jc w:val="both"/>
              <w:rPr>
                <w:rFonts w:ascii="Arial" w:hAnsi="Arial" w:cs="Arial"/>
              </w:rPr>
            </w:pPr>
            <w:r>
              <w:rPr>
                <w:rFonts w:ascii="Arial" w:hAnsi="Arial" w:cs="Arial"/>
              </w:rPr>
              <w:t>$</w:t>
            </w:r>
            <w:proofErr w:type="gramStart"/>
            <w:r>
              <w:rPr>
                <w:rFonts w:ascii="Arial" w:hAnsi="Arial" w:cs="Arial"/>
              </w:rPr>
              <w:t xml:space="preserve">   </w:t>
            </w:r>
            <w:r w:rsidR="00E03D91">
              <w:rPr>
                <w:rFonts w:ascii="Arial" w:hAnsi="Arial" w:cs="Arial"/>
              </w:rPr>
              <w:t>(</w:t>
            </w:r>
            <w:proofErr w:type="gramEnd"/>
            <w:r>
              <w:rPr>
                <w:rFonts w:ascii="Arial" w:hAnsi="Arial" w:cs="Arial"/>
              </w:rPr>
              <w:t>126,277</w:t>
            </w:r>
            <w:r w:rsidR="00E03D91">
              <w:rPr>
                <w:rFonts w:ascii="Arial" w:hAnsi="Arial" w:cs="Arial"/>
              </w:rPr>
              <w:t>)</w:t>
            </w:r>
          </w:p>
        </w:tc>
      </w:tr>
    </w:tbl>
    <w:p w14:paraId="36DE78A9" w14:textId="77777777" w:rsidR="00E87F22" w:rsidRPr="00F56223" w:rsidRDefault="00E87F22" w:rsidP="00186912">
      <w:pPr>
        <w:pStyle w:val="BodyText"/>
        <w:ind w:left="800" w:right="776"/>
        <w:jc w:val="both"/>
        <w:rPr>
          <w:rFonts w:ascii="Arial" w:hAnsi="Arial" w:cs="Arial"/>
        </w:rPr>
      </w:pPr>
    </w:p>
    <w:p w14:paraId="4E0DB451" w14:textId="77777777" w:rsidR="00186912" w:rsidRDefault="00186912" w:rsidP="00186912">
      <w:pPr>
        <w:pStyle w:val="BodyText"/>
        <w:ind w:left="800"/>
        <w:jc w:val="both"/>
        <w:rPr>
          <w:rFonts w:ascii="Arial" w:hAnsi="Arial" w:cs="Arial"/>
        </w:rPr>
      </w:pPr>
      <w:r w:rsidRPr="00F56223">
        <w:rPr>
          <w:rFonts w:ascii="Arial" w:hAnsi="Arial" w:cs="Arial"/>
        </w:rPr>
        <w:t>The Corporation does not invest in derivatives to mitigate these risks.</w:t>
      </w:r>
    </w:p>
    <w:p w14:paraId="19830190" w14:textId="70637FE9" w:rsidR="00464A7D" w:rsidRDefault="00464A7D">
      <w:pPr>
        <w:widowControl w:val="0"/>
        <w:autoSpaceDE w:val="0"/>
        <w:autoSpaceDN w:val="0"/>
        <w:rPr>
          <w:rFonts w:ascii="Arial" w:hAnsi="Arial" w:cs="Arial"/>
          <w:sz w:val="16"/>
          <w:szCs w:val="16"/>
        </w:rPr>
      </w:pPr>
      <w:r>
        <w:rPr>
          <w:rFonts w:ascii="Arial" w:hAnsi="Arial" w:cs="Arial"/>
        </w:rPr>
        <w:br w:type="page"/>
      </w:r>
    </w:p>
    <w:p w14:paraId="342EF19A" w14:textId="77777777" w:rsidR="00464A7D" w:rsidRDefault="00464A7D" w:rsidP="00186912">
      <w:pPr>
        <w:pStyle w:val="BodyText"/>
        <w:ind w:left="800"/>
        <w:jc w:val="both"/>
        <w:rPr>
          <w:rFonts w:ascii="Arial" w:hAnsi="Arial" w:cs="Arial"/>
        </w:rPr>
      </w:pPr>
    </w:p>
    <w:p w14:paraId="7ADC1109" w14:textId="77777777" w:rsidR="00464A7D" w:rsidRPr="00F56223" w:rsidRDefault="00464A7D" w:rsidP="00186912">
      <w:pPr>
        <w:pStyle w:val="BodyText"/>
        <w:ind w:left="800"/>
        <w:jc w:val="both"/>
        <w:rPr>
          <w:rFonts w:ascii="Arial" w:hAnsi="Arial" w:cs="Arial"/>
        </w:rPr>
      </w:pPr>
    </w:p>
    <w:p w14:paraId="17026AF1" w14:textId="130BF76C" w:rsidR="00A5315A" w:rsidRPr="00A10E12" w:rsidRDefault="00A5315A" w:rsidP="00A15174">
      <w:pPr>
        <w:pStyle w:val="Heading3"/>
        <w:numPr>
          <w:ilvl w:val="0"/>
          <w:numId w:val="23"/>
        </w:numPr>
        <w:tabs>
          <w:tab w:val="left" w:pos="1103"/>
        </w:tabs>
        <w:rPr>
          <w:rFonts w:ascii="Arial" w:hAnsi="Arial" w:cs="Arial"/>
          <w:sz w:val="16"/>
          <w:szCs w:val="16"/>
        </w:rPr>
      </w:pPr>
      <w:r w:rsidRPr="00A10E12">
        <w:rPr>
          <w:rFonts w:ascii="Arial" w:hAnsi="Arial" w:cs="Arial"/>
          <w:sz w:val="16"/>
          <w:szCs w:val="16"/>
        </w:rPr>
        <w:t>MANAGEMENT OF CAPITAL</w:t>
      </w:r>
      <w:r w:rsidRPr="00A10E12">
        <w:rPr>
          <w:rFonts w:ascii="Arial" w:hAnsi="Arial" w:cs="Arial"/>
          <w:spacing w:val="-4"/>
          <w:sz w:val="16"/>
          <w:szCs w:val="16"/>
        </w:rPr>
        <w:t xml:space="preserve"> </w:t>
      </w:r>
      <w:r w:rsidRPr="00A10E12">
        <w:rPr>
          <w:rFonts w:ascii="Arial" w:hAnsi="Arial" w:cs="Arial"/>
          <w:sz w:val="16"/>
          <w:szCs w:val="16"/>
        </w:rPr>
        <w:t>RISK</w:t>
      </w:r>
    </w:p>
    <w:p w14:paraId="6C122D35" w14:textId="77777777" w:rsidR="00E9009E" w:rsidRPr="00F56223" w:rsidRDefault="00E9009E" w:rsidP="00E9009E">
      <w:pPr>
        <w:pStyle w:val="BodyText"/>
        <w:ind w:left="800" w:right="777"/>
        <w:jc w:val="both"/>
        <w:rPr>
          <w:rFonts w:ascii="Arial" w:hAnsi="Arial" w:cs="Arial"/>
        </w:rPr>
      </w:pPr>
    </w:p>
    <w:p w14:paraId="51AA2E30" w14:textId="4B1278CE" w:rsidR="00934BE7" w:rsidRPr="005C09EC" w:rsidRDefault="00A5315A" w:rsidP="00E9009E">
      <w:pPr>
        <w:pStyle w:val="BodyText"/>
        <w:ind w:left="800" w:right="777"/>
        <w:jc w:val="both"/>
        <w:rPr>
          <w:rFonts w:ascii="Arial" w:hAnsi="Arial" w:cs="Arial"/>
        </w:rPr>
      </w:pPr>
      <w:r w:rsidRPr="005C09EC">
        <w:rPr>
          <w:rFonts w:ascii="Arial" w:hAnsi="Arial" w:cs="Arial"/>
        </w:rPr>
        <w:t xml:space="preserve">The Corporation manages its common shares, stock options and warrants as capital, that as </w:t>
      </w:r>
      <w:proofErr w:type="gramStart"/>
      <w:r w:rsidRPr="005C09EC">
        <w:rPr>
          <w:rFonts w:ascii="Arial" w:hAnsi="Arial" w:cs="Arial"/>
        </w:rPr>
        <w:t>at</w:t>
      </w:r>
      <w:proofErr w:type="gramEnd"/>
      <w:r w:rsidRPr="005C09EC">
        <w:rPr>
          <w:rFonts w:ascii="Arial" w:hAnsi="Arial" w:cs="Arial"/>
        </w:rPr>
        <w:t xml:space="preserve"> </w:t>
      </w:r>
      <w:r w:rsidR="004C6426" w:rsidRPr="005C09EC">
        <w:rPr>
          <w:rFonts w:ascii="Arial" w:hAnsi="Arial" w:cs="Arial"/>
        </w:rPr>
        <w:t>December</w:t>
      </w:r>
      <w:r w:rsidRPr="005C09EC">
        <w:rPr>
          <w:rFonts w:ascii="Arial" w:hAnsi="Arial" w:cs="Arial"/>
        </w:rPr>
        <w:t xml:space="preserve"> 3</w:t>
      </w:r>
      <w:r w:rsidR="004C6426" w:rsidRPr="005C09EC">
        <w:rPr>
          <w:rFonts w:ascii="Arial" w:hAnsi="Arial" w:cs="Arial"/>
        </w:rPr>
        <w:t>1</w:t>
      </w:r>
      <w:r w:rsidRPr="005C09EC">
        <w:rPr>
          <w:rFonts w:ascii="Arial" w:hAnsi="Arial" w:cs="Arial"/>
        </w:rPr>
        <w:t>, 202</w:t>
      </w:r>
      <w:r w:rsidR="00186912">
        <w:rPr>
          <w:rFonts w:ascii="Arial" w:hAnsi="Arial" w:cs="Arial"/>
        </w:rPr>
        <w:t>3</w:t>
      </w:r>
      <w:r w:rsidRPr="005C09EC">
        <w:rPr>
          <w:rFonts w:ascii="Arial" w:hAnsi="Arial" w:cs="Arial"/>
        </w:rPr>
        <w:t xml:space="preserve"> totaled $</w:t>
      </w:r>
      <w:r w:rsidR="00F67974" w:rsidRPr="005C09EC">
        <w:rPr>
          <w:rFonts w:ascii="Arial" w:hAnsi="Arial" w:cs="Arial"/>
        </w:rPr>
        <w:t>4</w:t>
      </w:r>
      <w:r w:rsidR="00926689" w:rsidRPr="005C09EC">
        <w:rPr>
          <w:rFonts w:ascii="Arial" w:hAnsi="Arial" w:cs="Arial"/>
        </w:rPr>
        <w:t>4,</w:t>
      </w:r>
      <w:r w:rsidR="00186912">
        <w:rPr>
          <w:rFonts w:ascii="Arial" w:hAnsi="Arial" w:cs="Arial"/>
        </w:rPr>
        <w:t>554,</w:t>
      </w:r>
      <w:r w:rsidR="00FD6936">
        <w:rPr>
          <w:rFonts w:ascii="Arial" w:hAnsi="Arial" w:cs="Arial"/>
        </w:rPr>
        <w:t>59</w:t>
      </w:r>
      <w:r w:rsidR="003B2CC3">
        <w:rPr>
          <w:rFonts w:ascii="Arial" w:hAnsi="Arial" w:cs="Arial"/>
        </w:rPr>
        <w:t>6</w:t>
      </w:r>
      <w:r w:rsidR="00E31F82" w:rsidRPr="005C09EC">
        <w:rPr>
          <w:rFonts w:ascii="Arial" w:hAnsi="Arial" w:cs="Arial"/>
        </w:rPr>
        <w:t xml:space="preserve"> </w:t>
      </w:r>
      <w:r w:rsidRPr="005C09EC">
        <w:rPr>
          <w:rFonts w:ascii="Arial" w:hAnsi="Arial" w:cs="Arial"/>
        </w:rPr>
        <w:t>(</w:t>
      </w:r>
      <w:r w:rsidR="00186912">
        <w:rPr>
          <w:rFonts w:ascii="Arial" w:hAnsi="Arial" w:cs="Arial"/>
        </w:rPr>
        <w:t>December 31,</w:t>
      </w:r>
      <w:r w:rsidRPr="005C09EC">
        <w:rPr>
          <w:rFonts w:ascii="Arial" w:hAnsi="Arial" w:cs="Arial"/>
        </w:rPr>
        <w:t>20</w:t>
      </w:r>
      <w:r w:rsidR="00F67974" w:rsidRPr="005C09EC">
        <w:rPr>
          <w:rFonts w:ascii="Arial" w:hAnsi="Arial" w:cs="Arial"/>
        </w:rPr>
        <w:t>2</w:t>
      </w:r>
      <w:r w:rsidR="00186912">
        <w:rPr>
          <w:rFonts w:ascii="Arial" w:hAnsi="Arial" w:cs="Arial"/>
        </w:rPr>
        <w:t>2</w:t>
      </w:r>
      <w:r w:rsidRPr="005C09EC">
        <w:rPr>
          <w:rFonts w:ascii="Arial" w:hAnsi="Arial" w:cs="Arial"/>
        </w:rPr>
        <w:t xml:space="preserve"> - $</w:t>
      </w:r>
      <w:r w:rsidR="00926689" w:rsidRPr="005C09EC">
        <w:rPr>
          <w:rFonts w:ascii="Arial" w:hAnsi="Arial" w:cs="Arial"/>
        </w:rPr>
        <w:t>4</w:t>
      </w:r>
      <w:r w:rsidR="00186912">
        <w:rPr>
          <w:rFonts w:ascii="Arial" w:hAnsi="Arial" w:cs="Arial"/>
        </w:rPr>
        <w:t>4,216,168</w:t>
      </w:r>
      <w:r w:rsidRPr="005C09EC">
        <w:rPr>
          <w:rFonts w:ascii="Arial" w:hAnsi="Arial" w:cs="Arial"/>
        </w:rPr>
        <w:t xml:space="preserve">). The Corporation's objectives when managing capital are to safeguard the Corporation's ability to continue as a </w:t>
      </w:r>
      <w:r w:rsidR="00BD2401" w:rsidRPr="005C09EC">
        <w:rPr>
          <w:rFonts w:ascii="Arial" w:hAnsi="Arial" w:cs="Arial"/>
        </w:rPr>
        <w:t>going concern</w:t>
      </w:r>
      <w:r w:rsidRPr="005C09EC">
        <w:rPr>
          <w:rFonts w:ascii="Arial" w:hAnsi="Arial" w:cs="Arial"/>
        </w:rPr>
        <w:t xml:space="preserve"> </w:t>
      </w:r>
      <w:proofErr w:type="gramStart"/>
      <w:r w:rsidRPr="005C09EC">
        <w:rPr>
          <w:rFonts w:ascii="Arial" w:hAnsi="Arial" w:cs="Arial"/>
        </w:rPr>
        <w:t>in order to</w:t>
      </w:r>
      <w:proofErr w:type="gramEnd"/>
      <w:r w:rsidRPr="005C09EC">
        <w:rPr>
          <w:rFonts w:ascii="Arial" w:hAnsi="Arial" w:cs="Arial"/>
        </w:rPr>
        <w:t xml:space="preserve"> pursue the exploration of its mineral properties and to maintain a flexible capital structure which optimizes the costs of capital at an acceptable risk.</w:t>
      </w:r>
      <w:r w:rsidR="00934BE7">
        <w:rPr>
          <w:rFonts w:ascii="Arial" w:hAnsi="Arial" w:cs="Arial"/>
        </w:rPr>
        <w:t xml:space="preserve"> There </w:t>
      </w:r>
      <w:proofErr w:type="gramStart"/>
      <w:r w:rsidR="00934BE7">
        <w:rPr>
          <w:rFonts w:ascii="Arial" w:hAnsi="Arial" w:cs="Arial"/>
        </w:rPr>
        <w:t>has</w:t>
      </w:r>
      <w:proofErr w:type="gramEnd"/>
      <w:r w:rsidR="00934BE7">
        <w:rPr>
          <w:rFonts w:ascii="Arial" w:hAnsi="Arial" w:cs="Arial"/>
        </w:rPr>
        <w:t xml:space="preserve"> been no changes to how </w:t>
      </w:r>
      <w:r w:rsidR="009026FA">
        <w:rPr>
          <w:rFonts w:ascii="Arial" w:hAnsi="Arial" w:cs="Arial"/>
        </w:rPr>
        <w:t xml:space="preserve">the </w:t>
      </w:r>
      <w:r w:rsidR="00934BE7">
        <w:rPr>
          <w:rFonts w:ascii="Arial" w:hAnsi="Arial" w:cs="Arial"/>
        </w:rPr>
        <w:t>Corporation manages capital in the current year</w:t>
      </w:r>
      <w:r w:rsidR="009026FA">
        <w:rPr>
          <w:rFonts w:ascii="Arial" w:hAnsi="Arial" w:cs="Arial"/>
        </w:rPr>
        <w:t xml:space="preserve"> compared to prior year</w:t>
      </w:r>
      <w:r w:rsidR="00934BE7">
        <w:rPr>
          <w:rFonts w:ascii="Arial" w:hAnsi="Arial" w:cs="Arial"/>
        </w:rPr>
        <w:t>.</w:t>
      </w:r>
    </w:p>
    <w:p w14:paraId="2D583E4A" w14:textId="08BAC733" w:rsidR="00A5315A" w:rsidRPr="005C09EC" w:rsidRDefault="00A5315A" w:rsidP="00A5315A">
      <w:pPr>
        <w:pStyle w:val="BodyText"/>
        <w:ind w:left="800" w:right="777"/>
        <w:jc w:val="both"/>
        <w:rPr>
          <w:rFonts w:ascii="Arial" w:hAnsi="Arial" w:cs="Arial"/>
        </w:rPr>
      </w:pPr>
    </w:p>
    <w:p w14:paraId="541A420E" w14:textId="77777777" w:rsidR="00E9009E" w:rsidRPr="00F56223" w:rsidRDefault="00E9009E" w:rsidP="00E9009E">
      <w:pPr>
        <w:pStyle w:val="BodyText"/>
        <w:ind w:left="800" w:right="777"/>
        <w:jc w:val="both"/>
        <w:rPr>
          <w:rFonts w:ascii="Arial" w:hAnsi="Arial" w:cs="Arial"/>
        </w:rPr>
      </w:pPr>
    </w:p>
    <w:p w14:paraId="008C9FC6" w14:textId="0B8AD7C3" w:rsidR="00A5315A" w:rsidRPr="005C09EC" w:rsidRDefault="00A5315A" w:rsidP="00E9009E">
      <w:pPr>
        <w:pStyle w:val="BodyText"/>
        <w:ind w:left="800" w:right="777"/>
        <w:jc w:val="both"/>
        <w:rPr>
          <w:rFonts w:ascii="Arial" w:hAnsi="Arial" w:cs="Arial"/>
        </w:rPr>
      </w:pPr>
      <w:r w:rsidRPr="005C09EC">
        <w:rPr>
          <w:rFonts w:ascii="Arial" w:hAnsi="Arial" w:cs="Arial"/>
        </w:rPr>
        <w:t xml:space="preserve">The Corporation manages the capital structure and </w:t>
      </w:r>
      <w:proofErr w:type="gramStart"/>
      <w:r w:rsidRPr="005C09EC">
        <w:rPr>
          <w:rFonts w:ascii="Arial" w:hAnsi="Arial" w:cs="Arial"/>
        </w:rPr>
        <w:t>makes adjustments to</w:t>
      </w:r>
      <w:proofErr w:type="gramEnd"/>
      <w:r w:rsidRPr="005C09EC">
        <w:rPr>
          <w:rFonts w:ascii="Arial" w:hAnsi="Arial" w:cs="Arial"/>
        </w:rPr>
        <w:t xml:space="preserve"> it in light of changes in economic conditions and the risk characteristics of the underlying assets. To maintain or adjust the capital structure, the Corporation may attempt to issue new shares </w:t>
      </w:r>
      <w:r w:rsidR="00BD2401" w:rsidRPr="005C09EC">
        <w:rPr>
          <w:rFonts w:ascii="Arial" w:hAnsi="Arial" w:cs="Arial"/>
        </w:rPr>
        <w:t>and</w:t>
      </w:r>
      <w:r w:rsidRPr="005C09EC">
        <w:rPr>
          <w:rFonts w:ascii="Arial" w:hAnsi="Arial" w:cs="Arial"/>
        </w:rPr>
        <w:t xml:space="preserve"> acquire or dispose of mineral properties.</w:t>
      </w:r>
    </w:p>
    <w:p w14:paraId="6D9856EB" w14:textId="77777777" w:rsidR="00A34BA1" w:rsidRPr="005C09EC" w:rsidRDefault="00A34BA1" w:rsidP="009507FC">
      <w:pPr>
        <w:pStyle w:val="BodyText"/>
        <w:ind w:left="800" w:right="777"/>
        <w:jc w:val="both"/>
        <w:rPr>
          <w:rFonts w:ascii="Arial" w:hAnsi="Arial" w:cs="Arial"/>
        </w:rPr>
      </w:pPr>
    </w:p>
    <w:p w14:paraId="0B2BB70E" w14:textId="51887ED9" w:rsidR="0087297B" w:rsidRDefault="00A5315A" w:rsidP="0010736C">
      <w:pPr>
        <w:pStyle w:val="BodyText"/>
        <w:ind w:left="800" w:right="777"/>
        <w:jc w:val="both"/>
        <w:rPr>
          <w:rFonts w:ascii="Arial" w:hAnsi="Arial" w:cs="Arial"/>
        </w:rPr>
      </w:pPr>
      <w:r w:rsidRPr="005C09EC">
        <w:rPr>
          <w:rFonts w:ascii="Arial" w:hAnsi="Arial" w:cs="Arial"/>
        </w:rPr>
        <w:t xml:space="preserve">In order to maximize ongoing exploration efforts, the Corporation does not pay out dividends. The Corporation's investment policy is to invest its short-term excess cash in highly liquid short-term interest-bearing investments with short-term maturities, selected with regard to the expected timing of expenditures from continuing </w:t>
      </w:r>
      <w:r w:rsidR="0001619A" w:rsidRPr="005C09EC">
        <w:rPr>
          <w:rFonts w:ascii="Arial" w:hAnsi="Arial" w:cs="Arial"/>
        </w:rPr>
        <w:t>operations</w:t>
      </w:r>
      <w:r w:rsidR="0001619A">
        <w:rPr>
          <w:rFonts w:ascii="Arial" w:hAnsi="Arial" w:cs="Arial"/>
        </w:rPr>
        <w:t>.</w:t>
      </w:r>
    </w:p>
    <w:p w14:paraId="5CBCC99F" w14:textId="2A8D2A57" w:rsidR="00D23DCF" w:rsidRPr="001B14C4" w:rsidRDefault="00D23DCF" w:rsidP="004A7BAF">
      <w:pPr>
        <w:pStyle w:val="BodyText"/>
        <w:ind w:left="800" w:right="777"/>
        <w:jc w:val="both"/>
        <w:rPr>
          <w:rFonts w:ascii="Arial" w:hAnsi="Arial" w:cs="Arial"/>
          <w:sz w:val="24"/>
          <w:szCs w:val="24"/>
          <w:lang w:val="en-US"/>
        </w:rPr>
      </w:pPr>
    </w:p>
    <w:p w14:paraId="6EBB1CF9" w14:textId="46D4A010" w:rsidR="0046383C" w:rsidRPr="00A10E12" w:rsidRDefault="004D50AB" w:rsidP="00A15174">
      <w:pPr>
        <w:pStyle w:val="BodyText"/>
        <w:numPr>
          <w:ilvl w:val="0"/>
          <w:numId w:val="23"/>
        </w:numPr>
        <w:ind w:right="777"/>
        <w:jc w:val="both"/>
        <w:rPr>
          <w:rFonts w:ascii="Arial" w:hAnsi="Arial" w:cs="Arial"/>
          <w:b/>
          <w:bCs/>
        </w:rPr>
      </w:pPr>
      <w:r w:rsidRPr="00A10E12">
        <w:rPr>
          <w:rFonts w:ascii="Arial" w:hAnsi="Arial" w:cs="Arial"/>
          <w:b/>
          <w:bCs/>
        </w:rPr>
        <w:t>SUBSEQUENT EVENTS</w:t>
      </w:r>
    </w:p>
    <w:p w14:paraId="021FFA26" w14:textId="77777777" w:rsidR="004B6382" w:rsidRPr="00F56223" w:rsidRDefault="004B6382" w:rsidP="004565BA">
      <w:pPr>
        <w:pStyle w:val="BodyText"/>
        <w:ind w:left="1159" w:right="777"/>
        <w:jc w:val="both"/>
        <w:rPr>
          <w:rFonts w:ascii="Arial" w:hAnsi="Arial" w:cs="Arial"/>
        </w:rPr>
      </w:pPr>
    </w:p>
    <w:p w14:paraId="5B21F688" w14:textId="1D9AB685" w:rsidR="00064129" w:rsidRPr="005C09EC" w:rsidRDefault="008F14B3" w:rsidP="00064129">
      <w:pPr>
        <w:pStyle w:val="BodyText"/>
        <w:ind w:left="800" w:right="777"/>
        <w:jc w:val="both"/>
        <w:rPr>
          <w:rFonts w:ascii="Arial" w:hAnsi="Arial" w:cs="Arial"/>
        </w:rPr>
      </w:pPr>
      <w:r>
        <w:rPr>
          <w:rFonts w:ascii="Arial" w:hAnsi="Arial" w:cs="Arial"/>
          <w:color w:val="000000" w:themeColor="text1"/>
        </w:rPr>
        <w:t>On February 14</w:t>
      </w:r>
      <w:r w:rsidR="00220828">
        <w:rPr>
          <w:rFonts w:ascii="Arial" w:hAnsi="Arial" w:cs="Arial"/>
          <w:color w:val="000000" w:themeColor="text1"/>
        </w:rPr>
        <w:t>,</w:t>
      </w:r>
      <w:r>
        <w:rPr>
          <w:rFonts w:ascii="Arial" w:hAnsi="Arial" w:cs="Arial"/>
          <w:color w:val="000000" w:themeColor="text1"/>
        </w:rPr>
        <w:t xml:space="preserve"> </w:t>
      </w:r>
      <w:proofErr w:type="gramStart"/>
      <w:r>
        <w:rPr>
          <w:rFonts w:ascii="Arial" w:hAnsi="Arial" w:cs="Arial"/>
          <w:color w:val="000000" w:themeColor="text1"/>
        </w:rPr>
        <w:t>2024</w:t>
      </w:r>
      <w:proofErr w:type="gramEnd"/>
      <w:r>
        <w:rPr>
          <w:rFonts w:ascii="Arial" w:hAnsi="Arial" w:cs="Arial"/>
          <w:color w:val="000000" w:themeColor="text1"/>
        </w:rPr>
        <w:t xml:space="preserve"> </w:t>
      </w:r>
      <w:r w:rsidRPr="0018347E">
        <w:rPr>
          <w:rFonts w:ascii="Arial" w:hAnsi="Arial" w:cs="Arial"/>
          <w:color w:val="000000" w:themeColor="text1"/>
        </w:rPr>
        <w:t>the Maine Land Use Planning Commission (</w:t>
      </w:r>
      <w:r>
        <w:rPr>
          <w:rFonts w:ascii="Arial" w:hAnsi="Arial" w:cs="Arial"/>
          <w:color w:val="000000" w:themeColor="text1"/>
        </w:rPr>
        <w:t>the “</w:t>
      </w:r>
      <w:r w:rsidRPr="0018347E">
        <w:rPr>
          <w:rFonts w:ascii="Arial" w:hAnsi="Arial" w:cs="Arial"/>
          <w:color w:val="000000" w:themeColor="text1"/>
        </w:rPr>
        <w:t>LUPC</w:t>
      </w:r>
      <w:r>
        <w:rPr>
          <w:rFonts w:ascii="Arial" w:hAnsi="Arial" w:cs="Arial"/>
          <w:color w:val="000000" w:themeColor="text1"/>
        </w:rPr>
        <w:t>” or “Commission”</w:t>
      </w:r>
      <w:r w:rsidRPr="0018347E">
        <w:rPr>
          <w:rFonts w:ascii="Arial" w:hAnsi="Arial" w:cs="Arial"/>
          <w:color w:val="000000" w:themeColor="text1"/>
        </w:rPr>
        <w:t xml:space="preserve">) </w:t>
      </w:r>
      <w:r>
        <w:rPr>
          <w:rFonts w:ascii="Arial" w:hAnsi="Arial" w:cs="Arial"/>
          <w:color w:val="000000" w:themeColor="text1"/>
        </w:rPr>
        <w:t>denied the request by Wolfden and Franklin County to delay final action on the Company’s Pickett Project rezoning application until all 9 of the LUPC Commissioners could participate.  Instead</w:t>
      </w:r>
      <w:r w:rsidRPr="00F92BBB">
        <w:rPr>
          <w:rFonts w:ascii="Arial" w:hAnsi="Arial" w:cs="Arial"/>
          <w:color w:val="000000" w:themeColor="text1"/>
        </w:rPr>
        <w:t xml:space="preserve">, 5 of the 7 commissioners </w:t>
      </w:r>
      <w:r>
        <w:rPr>
          <w:rFonts w:ascii="Arial" w:hAnsi="Arial" w:cs="Arial"/>
          <w:color w:val="000000" w:themeColor="text1"/>
        </w:rPr>
        <w:t xml:space="preserve">in attendance at the meeting voted to deny the application. The vote is contrary </w:t>
      </w:r>
      <w:r w:rsidR="009026FA">
        <w:rPr>
          <w:rFonts w:ascii="Arial" w:hAnsi="Arial" w:cs="Arial"/>
          <w:color w:val="000000" w:themeColor="text1"/>
        </w:rPr>
        <w:t xml:space="preserve">to </w:t>
      </w:r>
      <w:r>
        <w:rPr>
          <w:rFonts w:ascii="Arial" w:hAnsi="Arial" w:cs="Arial"/>
          <w:color w:val="000000" w:themeColor="text1"/>
        </w:rPr>
        <w:t xml:space="preserve">the comprehensive assessment prepared by LUPC staff in support of the deliberative session held on December 13, 2023. </w:t>
      </w:r>
    </w:p>
    <w:p w14:paraId="0E64F35F" w14:textId="77777777" w:rsidR="00E9009E" w:rsidRPr="00F56223" w:rsidRDefault="00E9009E" w:rsidP="00E9009E">
      <w:pPr>
        <w:pStyle w:val="BodyText"/>
        <w:ind w:left="800" w:right="777"/>
        <w:jc w:val="both"/>
        <w:rPr>
          <w:rFonts w:ascii="Arial" w:hAnsi="Arial" w:cs="Arial"/>
        </w:rPr>
      </w:pPr>
    </w:p>
    <w:p w14:paraId="66D382F4" w14:textId="77777777" w:rsidR="00E9009E" w:rsidRPr="00F56223" w:rsidRDefault="00E9009E" w:rsidP="00E9009E">
      <w:pPr>
        <w:pStyle w:val="BodyText"/>
        <w:ind w:left="800" w:right="777"/>
        <w:jc w:val="both"/>
        <w:rPr>
          <w:rFonts w:ascii="Arial" w:hAnsi="Arial" w:cs="Arial"/>
        </w:rPr>
      </w:pPr>
    </w:p>
    <w:sectPr w:rsidR="00E9009E" w:rsidRPr="00F56223" w:rsidSect="004867D3">
      <w:headerReference w:type="default" r:id="rId17"/>
      <w:footerReference w:type="default" r:id="rId18"/>
      <w:pgSz w:w="12240" w:h="15840"/>
      <w:pgMar w:top="2223" w:right="799" w:bottom="1599" w:left="900" w:header="1440" w:footer="1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D273" w14:textId="77777777" w:rsidR="00D96975" w:rsidRDefault="00D96975">
      <w:r>
        <w:separator/>
      </w:r>
    </w:p>
  </w:endnote>
  <w:endnote w:type="continuationSeparator" w:id="0">
    <w:p w14:paraId="05754DB7" w14:textId="77777777" w:rsidR="00D96975" w:rsidRDefault="00D96975">
      <w:r>
        <w:continuationSeparator/>
      </w:r>
    </w:p>
  </w:endnote>
  <w:endnote w:type="continuationNotice" w:id="1">
    <w:p w14:paraId="41575770" w14:textId="77777777" w:rsidR="00D96975" w:rsidRDefault="00D96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904143"/>
      <w:docPartObj>
        <w:docPartGallery w:val="Page Numbers (Bottom of Page)"/>
        <w:docPartUnique/>
      </w:docPartObj>
    </w:sdtPr>
    <w:sdtContent>
      <w:p w14:paraId="5B64F5C7" w14:textId="66EEEF9F" w:rsidR="00D16CAB" w:rsidRDefault="00D16CAB" w:rsidP="001571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A5BD88" w14:textId="77777777" w:rsidR="00D16CAB" w:rsidRDefault="00D16CAB" w:rsidP="00D16C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9175355"/>
      <w:docPartObj>
        <w:docPartGallery w:val="Page Numbers (Bottom of Page)"/>
        <w:docPartUnique/>
      </w:docPartObj>
    </w:sdtPr>
    <w:sdtContent>
      <w:p w14:paraId="55429D4E" w14:textId="2BD84476" w:rsidR="00D16CAB" w:rsidRDefault="00D16CAB" w:rsidP="001571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EC5F4CE" w14:textId="775C0FDF" w:rsidR="003B5C9E" w:rsidRDefault="003B5C9E" w:rsidP="00D16CAB">
    <w:pPr>
      <w:pStyle w:val="Footer"/>
      <w:ind w:right="360"/>
      <w:jc w:val="right"/>
    </w:pPr>
  </w:p>
  <w:p w14:paraId="6F97FB75" w14:textId="494ECAC6" w:rsidR="003B5C9E" w:rsidRDefault="003B5C9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EEC3" w14:textId="77777777" w:rsidR="003B5C9E" w:rsidRDefault="003B5C9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708716"/>
      <w:docPartObj>
        <w:docPartGallery w:val="Page Numbers (Bottom of Page)"/>
        <w:docPartUnique/>
      </w:docPartObj>
    </w:sdtPr>
    <w:sdtEndPr>
      <w:rPr>
        <w:noProof/>
      </w:rPr>
    </w:sdtEndPr>
    <w:sdtContent>
      <w:p w14:paraId="070B0718" w14:textId="1EC0259C" w:rsidR="003B5C9E" w:rsidRDefault="003B5C9E">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6F3CC981" w14:textId="23D0026A" w:rsidR="003B5C9E" w:rsidRDefault="003B5C9E">
    <w:pPr>
      <w:pStyle w:val="BodyText"/>
      <w:spacing w:line="14" w:lineRule="auto"/>
      <w:rPr>
        <w:sz w:val="17"/>
      </w:rPr>
    </w:pPr>
  </w:p>
  <w:p w14:paraId="4C3C3A48" w14:textId="77777777" w:rsidR="003B5C9E" w:rsidRDefault="003B5C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AC3F9" w14:textId="77777777" w:rsidR="00D96975" w:rsidRDefault="00D96975">
      <w:r>
        <w:separator/>
      </w:r>
    </w:p>
  </w:footnote>
  <w:footnote w:type="continuationSeparator" w:id="0">
    <w:p w14:paraId="797BA2B8" w14:textId="77777777" w:rsidR="00D96975" w:rsidRDefault="00D96975">
      <w:r>
        <w:continuationSeparator/>
      </w:r>
    </w:p>
  </w:footnote>
  <w:footnote w:type="continuationNotice" w:id="1">
    <w:p w14:paraId="042AC40B" w14:textId="77777777" w:rsidR="00D96975" w:rsidRDefault="00D96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A933" w14:textId="77777777" w:rsidR="003B5C9E" w:rsidRDefault="003B5C9E">
    <w:pPr>
      <w:pStyle w:val="BodyText"/>
      <w:spacing w:line="14" w:lineRule="auto"/>
      <w:rPr>
        <w:sz w:val="20"/>
      </w:rPr>
    </w:pPr>
    <w:r>
      <w:rPr>
        <w:noProof/>
        <w:lang w:val="en-US"/>
      </w:rPr>
      <w:drawing>
        <wp:anchor distT="0" distB="0" distL="0" distR="0" simplePos="0" relativeHeight="246110208" behindDoc="1" locked="0" layoutInCell="1" allowOverlap="1" wp14:anchorId="3F94803D" wp14:editId="3F086E6A">
          <wp:simplePos x="0" y="0"/>
          <wp:positionH relativeFrom="page">
            <wp:posOffset>1600200</wp:posOffset>
          </wp:positionH>
          <wp:positionV relativeFrom="page">
            <wp:posOffset>914400</wp:posOffset>
          </wp:positionV>
          <wp:extent cx="2103120" cy="347472"/>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 cstate="print"/>
                  <a:stretch>
                    <a:fillRect/>
                  </a:stretch>
                </pic:blipFill>
                <pic:spPr>
                  <a:xfrm>
                    <a:off x="0" y="0"/>
                    <a:ext cx="2103120" cy="347472"/>
                  </a:xfrm>
                  <a:prstGeom prst="rect">
                    <a:avLst/>
                  </a:prstGeom>
                </pic:spPr>
              </pic:pic>
            </a:graphicData>
          </a:graphic>
        </wp:anchor>
      </w:drawing>
    </w:r>
    <w:r>
      <w:rPr>
        <w:noProof/>
        <w:lang w:val="en-US"/>
      </w:rPr>
      <mc:AlternateContent>
        <mc:Choice Requires="wps">
          <w:drawing>
            <wp:anchor distT="0" distB="0" distL="114300" distR="114300" simplePos="0" relativeHeight="246111232" behindDoc="1" locked="0" layoutInCell="1" allowOverlap="1" wp14:anchorId="4180B292" wp14:editId="3223527A">
              <wp:simplePos x="0" y="0"/>
              <wp:positionH relativeFrom="page">
                <wp:posOffset>1587500</wp:posOffset>
              </wp:positionH>
              <wp:positionV relativeFrom="page">
                <wp:posOffset>1284605</wp:posOffset>
              </wp:positionV>
              <wp:extent cx="1831975"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8BDB9" w14:textId="77777777" w:rsidR="003B5C9E" w:rsidRDefault="003B5C9E">
                          <w:pPr>
                            <w:pStyle w:val="BodyText"/>
                            <w:spacing w:before="15"/>
                            <w:ind w:left="20"/>
                          </w:pPr>
                          <w:r>
                            <w:t>(Incorporated under the laws of Ontario)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180B292" id="_x0000_t202" coordsize="21600,21600" o:spt="202" path="m,l,21600r21600,l21600,xe">
              <v:stroke joinstyle="miter"/>
              <v:path gradientshapeok="t" o:connecttype="rect"/>
            </v:shapetype>
            <v:shape id="Text Box 4" o:spid="_x0000_s1026" type="#_x0000_t202" style="position:absolute;margin-left:125pt;margin-top:101.15pt;width:144.25pt;height:11pt;z-index:-25720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" filled="f" stroked="f">
              <v:textbox inset="0,0,0,0">
                <w:txbxContent>
                  <w:p w14:paraId="3068BDB9" w14:textId="77777777" w:rsidR="003B5C9E" w:rsidRDefault="003B5C9E">
                    <w:pPr>
                      <w:pStyle w:val="BodyText"/>
                      <w:spacing w:before="15"/>
                      <w:ind w:left="20"/>
                    </w:pPr>
                    <w:r>
                      <w:t>(Incorporated under the laws of Ontario)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D739" w14:textId="23761B3E" w:rsidR="003B5C9E" w:rsidRDefault="003B5C9E">
    <w:pPr>
      <w:pStyle w:val="BodyText"/>
      <w:spacing w:line="14" w:lineRule="auto"/>
      <w:rPr>
        <w:sz w:val="2"/>
      </w:rPr>
    </w:pPr>
    <w:r>
      <w:rPr>
        <w:noProof/>
        <w:lang w:val="en-US"/>
      </w:rPr>
      <w:drawing>
        <wp:anchor distT="0" distB="0" distL="0" distR="0" simplePos="0" relativeHeight="251659264" behindDoc="1" locked="0" layoutInCell="1" allowOverlap="1" wp14:anchorId="1906D3A8" wp14:editId="060EC8E9">
          <wp:simplePos x="0" y="0"/>
          <wp:positionH relativeFrom="margin">
            <wp:align>left</wp:align>
          </wp:positionH>
          <wp:positionV relativeFrom="page">
            <wp:posOffset>333375</wp:posOffset>
          </wp:positionV>
          <wp:extent cx="2103120" cy="347472"/>
          <wp:effectExtent l="0" t="0" r="0" b="0"/>
          <wp:wrapNone/>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 cstate="print"/>
                  <a:stretch>
                    <a:fillRect/>
                  </a:stretch>
                </pic:blipFill>
                <pic:spPr>
                  <a:xfrm>
                    <a:off x="0" y="0"/>
                    <a:ext cx="2103120" cy="347472"/>
                  </a:xfrm>
                  <a:prstGeom prst="rect">
                    <a:avLst/>
                  </a:prstGeom>
                </pic:spPr>
              </pic:pic>
            </a:graphicData>
          </a:graphic>
        </wp:anchor>
      </w:drawing>
    </w:r>
  </w:p>
  <w:p w14:paraId="34C225C5" w14:textId="77777777" w:rsidR="003B5C9E" w:rsidRDefault="003B5C9E" w:rsidP="001A1D15">
    <w:pPr>
      <w:pStyle w:val="BodyText"/>
      <w:spacing w:before="15"/>
      <w:ind w:left="20"/>
    </w:pPr>
  </w:p>
  <w:p w14:paraId="172FC7A4" w14:textId="77777777" w:rsidR="003B5C9E" w:rsidRDefault="003B5C9E" w:rsidP="001A1D15">
    <w:pPr>
      <w:pStyle w:val="BodyText"/>
      <w:spacing w:before="15"/>
      <w:ind w:left="20"/>
    </w:pPr>
  </w:p>
  <w:p w14:paraId="64178CF5" w14:textId="613AAFC6" w:rsidR="003B5C9E" w:rsidRDefault="003B5C9E" w:rsidP="001A1D15">
    <w:pPr>
      <w:pStyle w:val="BodyText"/>
      <w:spacing w:before="15"/>
      <w:ind w:left="20"/>
    </w:pPr>
    <w:r>
      <w:t>(Incorporated under the laws of Ontario)</w:t>
    </w:r>
  </w:p>
  <w:p w14:paraId="138E5DE3" w14:textId="585D9415" w:rsidR="003B5C9E" w:rsidRDefault="003B5C9E">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3624" w14:textId="0125128C" w:rsidR="003B5C9E" w:rsidRDefault="003B5C9E" w:rsidP="001F1E3D">
    <w:pPr>
      <w:pStyle w:val="BodyText"/>
      <w:spacing w:line="14" w:lineRule="auto"/>
      <w:ind w:left="851" w:hanging="851"/>
      <w:rPr>
        <w:sz w:val="20"/>
      </w:rPr>
    </w:pPr>
    <w:r w:rsidRPr="0033725E">
      <w:rPr>
        <w:noProof/>
        <w:sz w:val="20"/>
      </w:rPr>
      <w:drawing>
        <wp:anchor distT="0" distB="0" distL="0" distR="0" simplePos="0" relativeHeight="251661312" behindDoc="1" locked="0" layoutInCell="1" allowOverlap="1" wp14:anchorId="138C7E45" wp14:editId="2D9AD0EF">
          <wp:simplePos x="0" y="0"/>
          <wp:positionH relativeFrom="margin">
            <wp:posOffset>567690</wp:posOffset>
          </wp:positionH>
          <wp:positionV relativeFrom="page">
            <wp:posOffset>323965</wp:posOffset>
          </wp:positionV>
          <wp:extent cx="2103120" cy="347345"/>
          <wp:effectExtent l="0" t="0" r="0" b="0"/>
          <wp:wrapNone/>
          <wp:docPr id="20155339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 cstate="print"/>
                  <a:stretch>
                    <a:fillRect/>
                  </a:stretch>
                </pic:blipFill>
                <pic:spPr>
                  <a:xfrm>
                    <a:off x="0" y="0"/>
                    <a:ext cx="2103120" cy="347345"/>
                  </a:xfrm>
                  <a:prstGeom prst="rect">
                    <a:avLst/>
                  </a:prstGeom>
                </pic:spPr>
              </pic:pic>
            </a:graphicData>
          </a:graphic>
        </wp:anchor>
      </w:drawing>
    </w:r>
    <w:r w:rsidRPr="0033725E">
      <w:rPr>
        <w:noProof/>
        <w:sz w:val="20"/>
      </w:rPr>
      <mc:AlternateContent>
        <mc:Choice Requires="wps">
          <w:drawing>
            <wp:anchor distT="0" distB="0" distL="114300" distR="114300" simplePos="0" relativeHeight="251662336" behindDoc="1" locked="0" layoutInCell="1" allowOverlap="1" wp14:anchorId="75567360" wp14:editId="4A13147C">
              <wp:simplePos x="0" y="0"/>
              <wp:positionH relativeFrom="page">
                <wp:posOffset>571500</wp:posOffset>
              </wp:positionH>
              <wp:positionV relativeFrom="topMargin">
                <wp:posOffset>666115</wp:posOffset>
              </wp:positionV>
              <wp:extent cx="5251450" cy="736600"/>
              <wp:effectExtent l="0" t="0" r="635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FD96" w14:textId="6C3FE506" w:rsidR="003B5C9E" w:rsidRPr="0033725E" w:rsidRDefault="003B5C9E" w:rsidP="001F1E3D">
                          <w:pPr>
                            <w:spacing w:before="30"/>
                            <w:rPr>
                              <w:sz w:val="16"/>
                            </w:rPr>
                          </w:pPr>
                          <w:r w:rsidRPr="0033725E">
                            <w:rPr>
                              <w:sz w:val="16"/>
                            </w:rPr>
                            <w:t>(Incorporated under the laws of Ontario)</w:t>
                          </w:r>
                        </w:p>
                        <w:p w14:paraId="78FD25F3" w14:textId="77777777" w:rsidR="003B5C9E" w:rsidRPr="001F1E3D" w:rsidRDefault="003B5C9E" w:rsidP="0033725E">
                          <w:pPr>
                            <w:spacing w:before="15"/>
                            <w:ind w:left="20"/>
                            <w:rPr>
                              <w:sz w:val="16"/>
                              <w:szCs w:val="16"/>
                            </w:rPr>
                          </w:pPr>
                        </w:p>
                        <w:p w14:paraId="22A5DFE7" w14:textId="27C4524F" w:rsidR="003B5C9E" w:rsidRPr="0033725E" w:rsidRDefault="003B5C9E" w:rsidP="0033725E">
                          <w:pPr>
                            <w:spacing w:before="15"/>
                            <w:ind w:left="20"/>
                            <w:rPr>
                              <w:rFonts w:ascii="Arial" w:hAnsi="Arial" w:cs="Arial"/>
                              <w:b/>
                              <w:sz w:val="16"/>
                            </w:rPr>
                          </w:pPr>
                          <w:r w:rsidRPr="00087CA4">
                            <w:rPr>
                              <w:rFonts w:ascii="Arial" w:hAnsi="Arial" w:cs="Arial"/>
                              <w:b/>
                            </w:rPr>
                            <w:t>NOTES TO THE CONSOLIDATED FINANCIAL STATEMENTS</w:t>
                          </w:r>
                        </w:p>
                        <w:p w14:paraId="508B67E0" w14:textId="0D3397A6" w:rsidR="003B5C9E" w:rsidRPr="0033725E" w:rsidRDefault="003B5C9E" w:rsidP="0033725E">
                          <w:pPr>
                            <w:spacing w:before="15"/>
                            <w:ind w:left="20"/>
                            <w:rPr>
                              <w:rFonts w:ascii="Arial" w:hAnsi="Arial" w:cs="Arial"/>
                              <w:sz w:val="16"/>
                            </w:rPr>
                          </w:pPr>
                          <w:r w:rsidRPr="0033725E">
                            <w:rPr>
                              <w:rFonts w:ascii="Arial" w:hAnsi="Arial" w:cs="Arial"/>
                              <w:sz w:val="16"/>
                            </w:rPr>
                            <w:t xml:space="preserve">For the </w:t>
                          </w:r>
                          <w:r>
                            <w:rPr>
                              <w:rFonts w:ascii="Arial" w:hAnsi="Arial" w:cs="Arial"/>
                              <w:sz w:val="16"/>
                            </w:rPr>
                            <w:t>year</w:t>
                          </w:r>
                          <w:r w:rsidRPr="0033725E">
                            <w:rPr>
                              <w:rFonts w:ascii="Arial" w:hAnsi="Arial" w:cs="Arial"/>
                              <w:sz w:val="16"/>
                            </w:rPr>
                            <w:t xml:space="preserve"> ended </w:t>
                          </w:r>
                          <w:r>
                            <w:rPr>
                              <w:rFonts w:ascii="Arial" w:hAnsi="Arial" w:cs="Arial"/>
                              <w:sz w:val="16"/>
                            </w:rPr>
                            <w:t>December</w:t>
                          </w:r>
                          <w:r w:rsidRPr="0033725E">
                            <w:rPr>
                              <w:rFonts w:ascii="Arial" w:hAnsi="Arial" w:cs="Arial"/>
                              <w:sz w:val="16"/>
                            </w:rPr>
                            <w:t xml:space="preserve"> 3</w:t>
                          </w:r>
                          <w:r>
                            <w:rPr>
                              <w:rFonts w:ascii="Arial" w:hAnsi="Arial" w:cs="Arial"/>
                              <w:sz w:val="16"/>
                            </w:rPr>
                            <w:t>1</w:t>
                          </w:r>
                          <w:r w:rsidRPr="0033725E">
                            <w:rPr>
                              <w:rFonts w:ascii="Arial" w:hAnsi="Arial" w:cs="Arial"/>
                              <w:sz w:val="16"/>
                            </w:rPr>
                            <w:t>, 2023 and 2022</w:t>
                          </w:r>
                        </w:p>
                        <w:p w14:paraId="0F1CD6BE" w14:textId="77777777" w:rsidR="003B5C9E" w:rsidRPr="0033725E" w:rsidRDefault="003B5C9E" w:rsidP="0033725E">
                          <w:pPr>
                            <w:spacing w:before="15"/>
                            <w:ind w:left="20"/>
                            <w:rPr>
                              <w:rFonts w:ascii="Arial" w:hAnsi="Arial" w:cs="Arial"/>
                              <w:sz w:val="16"/>
                            </w:rPr>
                          </w:pPr>
                          <w:r w:rsidRPr="0033725E">
                            <w:rPr>
                              <w:rFonts w:ascii="Arial" w:hAnsi="Arial" w:cs="Arial"/>
                              <w:sz w:val="16"/>
                            </w:rPr>
                            <w:t>(Stated in Canadian Dollars)</w:t>
                          </w:r>
                        </w:p>
                        <w:p w14:paraId="6066ECBF" w14:textId="77777777" w:rsidR="003B5C9E" w:rsidRPr="0033725E" w:rsidRDefault="003B5C9E" w:rsidP="0033725E">
                          <w:pPr>
                            <w:spacing w:before="15"/>
                            <w:ind w:left="20"/>
                            <w:rPr>
                              <w:sz w:val="16"/>
                            </w:rPr>
                          </w:pPr>
                        </w:p>
                        <w:p w14:paraId="67953E4A" w14:textId="77777777" w:rsidR="003B5C9E" w:rsidRDefault="003B5C9E" w:rsidP="0033725E">
                          <w:pPr>
                            <w:spacing w:before="15"/>
                            <w:ind w:left="20"/>
                          </w:pPr>
                        </w:p>
                        <w:p w14:paraId="63839418" w14:textId="77777777" w:rsidR="003B5C9E" w:rsidRDefault="003B5C9E" w:rsidP="0033725E">
                          <w:pPr>
                            <w:spacing w:before="15"/>
                            <w:ind w:left="20"/>
                          </w:pPr>
                        </w:p>
                      </w:txbxContent>
                    </wps:txbx>
                    <wps:bodyPr rot="0" vert="horz" wrap="square" lIns="503999"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5567360" id="_x0000_t202" coordsize="21600,21600" o:spt="202" path="m,l,21600r21600,l21600,xe">
              <v:stroke joinstyle="miter"/>
              <v:path gradientshapeok="t" o:connecttype="rect"/>
            </v:shapetype>
            <v:shape id="Text Box 24" o:spid="_x0000_s1027" type="#_x0000_t202" style="position:absolute;left:0;text-align:left;margin-left:45pt;margin-top:52.45pt;width:413.5pt;height:5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" filled="f" stroked="f">
              <v:textbox inset="13.99997mm,0,0,0">
                <w:txbxContent>
                  <w:p w14:paraId="38B0FD96" w14:textId="6C3FE506" w:rsidR="003B5C9E" w:rsidRPr="0033725E" w:rsidRDefault="003B5C9E" w:rsidP="001F1E3D">
                    <w:pPr>
                      <w:spacing w:before="30"/>
                      <w:rPr>
                        <w:sz w:val="16"/>
                      </w:rPr>
                    </w:pPr>
                    <w:r w:rsidRPr="0033725E">
                      <w:rPr>
                        <w:sz w:val="16"/>
                      </w:rPr>
                      <w:t>(Incorporated under the laws of Ontario)</w:t>
                    </w:r>
                  </w:p>
                  <w:p w14:paraId="78FD25F3" w14:textId="77777777" w:rsidR="003B5C9E" w:rsidRPr="001F1E3D" w:rsidRDefault="003B5C9E" w:rsidP="0033725E">
                    <w:pPr>
                      <w:spacing w:before="15"/>
                      <w:ind w:left="20"/>
                      <w:rPr>
                        <w:sz w:val="16"/>
                        <w:szCs w:val="16"/>
                      </w:rPr>
                    </w:pPr>
                  </w:p>
                  <w:p w14:paraId="22A5DFE7" w14:textId="27C4524F" w:rsidR="003B5C9E" w:rsidRPr="0033725E" w:rsidRDefault="003B5C9E" w:rsidP="0033725E">
                    <w:pPr>
                      <w:spacing w:before="15"/>
                      <w:ind w:left="20"/>
                      <w:rPr>
                        <w:rFonts w:ascii="Arial" w:hAnsi="Arial" w:cs="Arial"/>
                        <w:b/>
                        <w:sz w:val="16"/>
                      </w:rPr>
                    </w:pPr>
                    <w:r w:rsidRPr="00087CA4">
                      <w:rPr>
                        <w:rFonts w:ascii="Arial" w:hAnsi="Arial" w:cs="Arial"/>
                        <w:b/>
                      </w:rPr>
                      <w:t>NOTES TO THE CONSOLIDATED FINANCIAL STATEMENTS</w:t>
                    </w:r>
                  </w:p>
                  <w:p w14:paraId="508B67E0" w14:textId="0D3397A6" w:rsidR="003B5C9E" w:rsidRPr="0033725E" w:rsidRDefault="003B5C9E" w:rsidP="0033725E">
                    <w:pPr>
                      <w:spacing w:before="15"/>
                      <w:ind w:left="20"/>
                      <w:rPr>
                        <w:rFonts w:ascii="Arial" w:hAnsi="Arial" w:cs="Arial"/>
                        <w:sz w:val="16"/>
                      </w:rPr>
                    </w:pPr>
                    <w:r w:rsidRPr="0033725E">
                      <w:rPr>
                        <w:rFonts w:ascii="Arial" w:hAnsi="Arial" w:cs="Arial"/>
                        <w:sz w:val="16"/>
                      </w:rPr>
                      <w:t xml:space="preserve">For the </w:t>
                    </w:r>
                    <w:r>
                      <w:rPr>
                        <w:rFonts w:ascii="Arial" w:hAnsi="Arial" w:cs="Arial"/>
                        <w:sz w:val="16"/>
                      </w:rPr>
                      <w:t>year</w:t>
                    </w:r>
                    <w:r w:rsidRPr="0033725E">
                      <w:rPr>
                        <w:rFonts w:ascii="Arial" w:hAnsi="Arial" w:cs="Arial"/>
                        <w:sz w:val="16"/>
                      </w:rPr>
                      <w:t xml:space="preserve"> ended </w:t>
                    </w:r>
                    <w:r>
                      <w:rPr>
                        <w:rFonts w:ascii="Arial" w:hAnsi="Arial" w:cs="Arial"/>
                        <w:sz w:val="16"/>
                      </w:rPr>
                      <w:t>December</w:t>
                    </w:r>
                    <w:r w:rsidRPr="0033725E">
                      <w:rPr>
                        <w:rFonts w:ascii="Arial" w:hAnsi="Arial" w:cs="Arial"/>
                        <w:sz w:val="16"/>
                      </w:rPr>
                      <w:t xml:space="preserve"> 3</w:t>
                    </w:r>
                    <w:r>
                      <w:rPr>
                        <w:rFonts w:ascii="Arial" w:hAnsi="Arial" w:cs="Arial"/>
                        <w:sz w:val="16"/>
                      </w:rPr>
                      <w:t>1</w:t>
                    </w:r>
                    <w:r w:rsidRPr="0033725E">
                      <w:rPr>
                        <w:rFonts w:ascii="Arial" w:hAnsi="Arial" w:cs="Arial"/>
                        <w:sz w:val="16"/>
                      </w:rPr>
                      <w:t>, 2023 and 2022</w:t>
                    </w:r>
                  </w:p>
                  <w:p w14:paraId="0F1CD6BE" w14:textId="77777777" w:rsidR="003B5C9E" w:rsidRPr="0033725E" w:rsidRDefault="003B5C9E" w:rsidP="0033725E">
                    <w:pPr>
                      <w:spacing w:before="15"/>
                      <w:ind w:left="20"/>
                      <w:rPr>
                        <w:rFonts w:ascii="Arial" w:hAnsi="Arial" w:cs="Arial"/>
                        <w:sz w:val="16"/>
                      </w:rPr>
                    </w:pPr>
                    <w:r w:rsidRPr="0033725E">
                      <w:rPr>
                        <w:rFonts w:ascii="Arial" w:hAnsi="Arial" w:cs="Arial"/>
                        <w:sz w:val="16"/>
                      </w:rPr>
                      <w:t>(Stated in Canadian Dollars)</w:t>
                    </w:r>
                  </w:p>
                  <w:p w14:paraId="6066ECBF" w14:textId="77777777" w:rsidR="003B5C9E" w:rsidRPr="0033725E" w:rsidRDefault="003B5C9E" w:rsidP="0033725E">
                    <w:pPr>
                      <w:spacing w:before="15"/>
                      <w:ind w:left="20"/>
                      <w:rPr>
                        <w:sz w:val="16"/>
                      </w:rPr>
                    </w:pPr>
                  </w:p>
                  <w:p w14:paraId="67953E4A" w14:textId="77777777" w:rsidR="003B5C9E" w:rsidRDefault="003B5C9E" w:rsidP="0033725E">
                    <w:pPr>
                      <w:spacing w:before="15"/>
                      <w:ind w:left="20"/>
                    </w:pPr>
                  </w:p>
                  <w:p w14:paraId="63839418" w14:textId="77777777" w:rsidR="003B5C9E" w:rsidRDefault="003B5C9E" w:rsidP="0033725E">
                    <w:pPr>
                      <w:spacing w:before="15"/>
                      <w:ind w:left="20"/>
                    </w:pPr>
                  </w:p>
                </w:txbxContent>
              </v:textbox>
              <w10:wrap anchorx="page" anchory="margin"/>
            </v:shape>
          </w:pict>
        </mc:Fallback>
      </mc:AlternateContent>
    </w:r>
  </w:p>
  <w:p w14:paraId="5FE5AB33" w14:textId="588EB37B" w:rsidR="003B5C9E" w:rsidRDefault="003B5C9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610"/>
    <w:multiLevelType w:val="multilevel"/>
    <w:tmpl w:val="F378E1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536E62"/>
    <w:multiLevelType w:val="hybridMultilevel"/>
    <w:tmpl w:val="5720BD12"/>
    <w:lvl w:ilvl="0" w:tplc="0D781750">
      <w:start w:val="1"/>
      <w:numFmt w:val="decimal"/>
      <w:lvlText w:val="%1."/>
      <w:lvlJc w:val="left"/>
      <w:pPr>
        <w:ind w:left="912" w:hanging="202"/>
      </w:pPr>
      <w:rPr>
        <w:rFonts w:ascii="Arial" w:eastAsia="Arial" w:hAnsi="Arial" w:cs="Arial" w:hint="default"/>
        <w:b/>
        <w:bCs/>
        <w:spacing w:val="-1"/>
        <w:w w:val="100"/>
        <w:sz w:val="16"/>
        <w:szCs w:val="16"/>
      </w:rPr>
    </w:lvl>
    <w:lvl w:ilvl="1" w:tplc="13FC28F4">
      <w:start w:val="1"/>
      <w:numFmt w:val="lowerRoman"/>
      <w:lvlText w:val="%2."/>
      <w:lvlJc w:val="left"/>
      <w:pPr>
        <w:ind w:left="1970" w:hanging="720"/>
      </w:pPr>
      <w:rPr>
        <w:rFonts w:ascii="Arial" w:eastAsia="Arial" w:hAnsi="Arial" w:cs="Arial" w:hint="default"/>
        <w:w w:val="100"/>
        <w:sz w:val="16"/>
        <w:szCs w:val="16"/>
      </w:rPr>
    </w:lvl>
    <w:lvl w:ilvl="2" w:tplc="63622492">
      <w:numFmt w:val="bullet"/>
      <w:lvlText w:val="•"/>
      <w:lvlJc w:val="left"/>
      <w:pPr>
        <w:ind w:left="2776" w:hanging="720"/>
      </w:pPr>
      <w:rPr>
        <w:rFonts w:hint="default"/>
      </w:rPr>
    </w:lvl>
    <w:lvl w:ilvl="3" w:tplc="7172B684">
      <w:numFmt w:val="bullet"/>
      <w:lvlText w:val="•"/>
      <w:lvlJc w:val="left"/>
      <w:pPr>
        <w:ind w:left="3583" w:hanging="720"/>
      </w:pPr>
      <w:rPr>
        <w:rFonts w:hint="default"/>
      </w:rPr>
    </w:lvl>
    <w:lvl w:ilvl="4" w:tplc="6A06EF74">
      <w:numFmt w:val="bullet"/>
      <w:lvlText w:val="•"/>
      <w:lvlJc w:val="left"/>
      <w:pPr>
        <w:ind w:left="4390" w:hanging="720"/>
      </w:pPr>
      <w:rPr>
        <w:rFonts w:hint="default"/>
      </w:rPr>
    </w:lvl>
    <w:lvl w:ilvl="5" w:tplc="F96E9622">
      <w:numFmt w:val="bullet"/>
      <w:lvlText w:val="•"/>
      <w:lvlJc w:val="left"/>
      <w:pPr>
        <w:ind w:left="5196" w:hanging="720"/>
      </w:pPr>
      <w:rPr>
        <w:rFonts w:hint="default"/>
      </w:rPr>
    </w:lvl>
    <w:lvl w:ilvl="6" w:tplc="2C5400B2">
      <w:numFmt w:val="bullet"/>
      <w:lvlText w:val="•"/>
      <w:lvlJc w:val="left"/>
      <w:pPr>
        <w:ind w:left="6003" w:hanging="720"/>
      </w:pPr>
      <w:rPr>
        <w:rFonts w:hint="default"/>
      </w:rPr>
    </w:lvl>
    <w:lvl w:ilvl="7" w:tplc="F118A650">
      <w:numFmt w:val="bullet"/>
      <w:lvlText w:val="•"/>
      <w:lvlJc w:val="left"/>
      <w:pPr>
        <w:ind w:left="6810" w:hanging="720"/>
      </w:pPr>
      <w:rPr>
        <w:rFonts w:hint="default"/>
      </w:rPr>
    </w:lvl>
    <w:lvl w:ilvl="8" w:tplc="F14A45E0">
      <w:numFmt w:val="bullet"/>
      <w:lvlText w:val="•"/>
      <w:lvlJc w:val="left"/>
      <w:pPr>
        <w:ind w:left="7616" w:hanging="720"/>
      </w:pPr>
      <w:rPr>
        <w:rFonts w:hint="default"/>
      </w:rPr>
    </w:lvl>
  </w:abstractNum>
  <w:abstractNum w:abstractNumId="2" w15:restartNumberingAfterBreak="0">
    <w:nsid w:val="03806940"/>
    <w:multiLevelType w:val="hybridMultilevel"/>
    <w:tmpl w:val="354E80E2"/>
    <w:lvl w:ilvl="0" w:tplc="067872A4">
      <w:start w:val="1"/>
      <w:numFmt w:val="lowerLetter"/>
      <w:lvlText w:val="(%1)"/>
      <w:lvlJc w:val="left"/>
      <w:pPr>
        <w:ind w:left="1479" w:hanging="680"/>
      </w:pPr>
      <w:rPr>
        <w:rFonts w:ascii="Arial" w:eastAsia="Arial" w:hAnsi="Arial" w:cs="Arial" w:hint="default"/>
        <w:spacing w:val="-1"/>
        <w:w w:val="100"/>
        <w:sz w:val="16"/>
        <w:szCs w:val="16"/>
      </w:rPr>
    </w:lvl>
    <w:lvl w:ilvl="1" w:tplc="82A0C43A">
      <w:numFmt w:val="bullet"/>
      <w:lvlText w:val="•"/>
      <w:lvlJc w:val="left"/>
      <w:pPr>
        <w:ind w:left="2282" w:hanging="680"/>
      </w:pPr>
      <w:rPr>
        <w:rFonts w:hint="default"/>
      </w:rPr>
    </w:lvl>
    <w:lvl w:ilvl="2" w:tplc="8DE4D888">
      <w:numFmt w:val="bullet"/>
      <w:lvlText w:val="•"/>
      <w:lvlJc w:val="left"/>
      <w:pPr>
        <w:ind w:left="3084" w:hanging="680"/>
      </w:pPr>
      <w:rPr>
        <w:rFonts w:hint="default"/>
      </w:rPr>
    </w:lvl>
    <w:lvl w:ilvl="3" w:tplc="87823064">
      <w:numFmt w:val="bullet"/>
      <w:lvlText w:val="•"/>
      <w:lvlJc w:val="left"/>
      <w:pPr>
        <w:ind w:left="3886" w:hanging="680"/>
      </w:pPr>
      <w:rPr>
        <w:rFonts w:hint="default"/>
      </w:rPr>
    </w:lvl>
    <w:lvl w:ilvl="4" w:tplc="BC78D532">
      <w:numFmt w:val="bullet"/>
      <w:lvlText w:val="•"/>
      <w:lvlJc w:val="left"/>
      <w:pPr>
        <w:ind w:left="4688" w:hanging="680"/>
      </w:pPr>
      <w:rPr>
        <w:rFonts w:hint="default"/>
      </w:rPr>
    </w:lvl>
    <w:lvl w:ilvl="5" w:tplc="640EEB84">
      <w:numFmt w:val="bullet"/>
      <w:lvlText w:val="•"/>
      <w:lvlJc w:val="left"/>
      <w:pPr>
        <w:ind w:left="5490" w:hanging="680"/>
      </w:pPr>
      <w:rPr>
        <w:rFonts w:hint="default"/>
      </w:rPr>
    </w:lvl>
    <w:lvl w:ilvl="6" w:tplc="B8F40102">
      <w:numFmt w:val="bullet"/>
      <w:lvlText w:val="•"/>
      <w:lvlJc w:val="left"/>
      <w:pPr>
        <w:ind w:left="6292" w:hanging="680"/>
      </w:pPr>
      <w:rPr>
        <w:rFonts w:hint="default"/>
      </w:rPr>
    </w:lvl>
    <w:lvl w:ilvl="7" w:tplc="EAF2DF40">
      <w:numFmt w:val="bullet"/>
      <w:lvlText w:val="•"/>
      <w:lvlJc w:val="left"/>
      <w:pPr>
        <w:ind w:left="7094" w:hanging="680"/>
      </w:pPr>
      <w:rPr>
        <w:rFonts w:hint="default"/>
      </w:rPr>
    </w:lvl>
    <w:lvl w:ilvl="8" w:tplc="3CD656FE">
      <w:numFmt w:val="bullet"/>
      <w:lvlText w:val="•"/>
      <w:lvlJc w:val="left"/>
      <w:pPr>
        <w:ind w:left="7896" w:hanging="680"/>
      </w:pPr>
      <w:rPr>
        <w:rFonts w:hint="default"/>
      </w:rPr>
    </w:lvl>
  </w:abstractNum>
  <w:abstractNum w:abstractNumId="3" w15:restartNumberingAfterBreak="0">
    <w:nsid w:val="03B611D0"/>
    <w:multiLevelType w:val="hybridMultilevel"/>
    <w:tmpl w:val="EFA0581C"/>
    <w:lvl w:ilvl="0" w:tplc="B42A21B8">
      <w:start w:val="1"/>
      <w:numFmt w:val="decimal"/>
      <w:lvlText w:val="%1."/>
      <w:lvlJc w:val="left"/>
      <w:pPr>
        <w:ind w:left="1001" w:hanging="202"/>
      </w:pPr>
      <w:rPr>
        <w:rFonts w:ascii="Arial" w:eastAsia="Arial" w:hAnsi="Arial" w:cs="Arial" w:hint="default"/>
        <w:b/>
        <w:bCs/>
        <w:spacing w:val="-1"/>
        <w:w w:val="100"/>
        <w:sz w:val="18"/>
        <w:szCs w:val="18"/>
      </w:rPr>
    </w:lvl>
    <w:lvl w:ilvl="1" w:tplc="13FC28F4">
      <w:start w:val="1"/>
      <w:numFmt w:val="lowerRoman"/>
      <w:lvlText w:val="%2."/>
      <w:lvlJc w:val="left"/>
      <w:pPr>
        <w:ind w:left="2240" w:hanging="720"/>
      </w:pPr>
      <w:rPr>
        <w:rFonts w:ascii="Arial" w:eastAsia="Arial" w:hAnsi="Arial" w:cs="Arial" w:hint="default"/>
        <w:w w:val="100"/>
        <w:sz w:val="16"/>
        <w:szCs w:val="16"/>
      </w:rPr>
    </w:lvl>
    <w:lvl w:ilvl="2" w:tplc="63622492">
      <w:numFmt w:val="bullet"/>
      <w:lvlText w:val="•"/>
      <w:lvlJc w:val="left"/>
      <w:pPr>
        <w:ind w:left="3046" w:hanging="720"/>
      </w:pPr>
      <w:rPr>
        <w:rFonts w:hint="default"/>
      </w:rPr>
    </w:lvl>
    <w:lvl w:ilvl="3" w:tplc="7172B684">
      <w:numFmt w:val="bullet"/>
      <w:lvlText w:val="•"/>
      <w:lvlJc w:val="left"/>
      <w:pPr>
        <w:ind w:left="3853" w:hanging="720"/>
      </w:pPr>
      <w:rPr>
        <w:rFonts w:hint="default"/>
      </w:rPr>
    </w:lvl>
    <w:lvl w:ilvl="4" w:tplc="6A06EF74">
      <w:numFmt w:val="bullet"/>
      <w:lvlText w:val="•"/>
      <w:lvlJc w:val="left"/>
      <w:pPr>
        <w:ind w:left="4660" w:hanging="720"/>
      </w:pPr>
      <w:rPr>
        <w:rFonts w:hint="default"/>
      </w:rPr>
    </w:lvl>
    <w:lvl w:ilvl="5" w:tplc="F96E9622">
      <w:numFmt w:val="bullet"/>
      <w:lvlText w:val="•"/>
      <w:lvlJc w:val="left"/>
      <w:pPr>
        <w:ind w:left="5466" w:hanging="720"/>
      </w:pPr>
      <w:rPr>
        <w:rFonts w:hint="default"/>
      </w:rPr>
    </w:lvl>
    <w:lvl w:ilvl="6" w:tplc="2C5400B2">
      <w:numFmt w:val="bullet"/>
      <w:lvlText w:val="•"/>
      <w:lvlJc w:val="left"/>
      <w:pPr>
        <w:ind w:left="6273" w:hanging="720"/>
      </w:pPr>
      <w:rPr>
        <w:rFonts w:hint="default"/>
      </w:rPr>
    </w:lvl>
    <w:lvl w:ilvl="7" w:tplc="F118A650">
      <w:numFmt w:val="bullet"/>
      <w:lvlText w:val="•"/>
      <w:lvlJc w:val="left"/>
      <w:pPr>
        <w:ind w:left="7080" w:hanging="720"/>
      </w:pPr>
      <w:rPr>
        <w:rFonts w:hint="default"/>
      </w:rPr>
    </w:lvl>
    <w:lvl w:ilvl="8" w:tplc="F14A45E0">
      <w:numFmt w:val="bullet"/>
      <w:lvlText w:val="•"/>
      <w:lvlJc w:val="left"/>
      <w:pPr>
        <w:ind w:left="7886" w:hanging="720"/>
      </w:pPr>
      <w:rPr>
        <w:rFonts w:hint="default"/>
      </w:rPr>
    </w:lvl>
  </w:abstractNum>
  <w:abstractNum w:abstractNumId="4" w15:restartNumberingAfterBreak="0">
    <w:nsid w:val="0599017F"/>
    <w:multiLevelType w:val="hybridMultilevel"/>
    <w:tmpl w:val="3DE853D2"/>
    <w:lvl w:ilvl="0" w:tplc="F29C0048">
      <w:start w:val="1"/>
      <w:numFmt w:val="lowerLetter"/>
      <w:lvlText w:val="(%1)"/>
      <w:lvlJc w:val="left"/>
      <w:pPr>
        <w:ind w:left="1159" w:hanging="360"/>
      </w:pPr>
      <w:rPr>
        <w:rFonts w:hint="default"/>
      </w:rPr>
    </w:lvl>
    <w:lvl w:ilvl="1" w:tplc="10090019" w:tentative="1">
      <w:start w:val="1"/>
      <w:numFmt w:val="lowerLetter"/>
      <w:lvlText w:val="%2."/>
      <w:lvlJc w:val="left"/>
      <w:pPr>
        <w:ind w:left="1879" w:hanging="360"/>
      </w:pPr>
    </w:lvl>
    <w:lvl w:ilvl="2" w:tplc="1009001B" w:tentative="1">
      <w:start w:val="1"/>
      <w:numFmt w:val="lowerRoman"/>
      <w:lvlText w:val="%3."/>
      <w:lvlJc w:val="right"/>
      <w:pPr>
        <w:ind w:left="2599" w:hanging="180"/>
      </w:pPr>
    </w:lvl>
    <w:lvl w:ilvl="3" w:tplc="1009000F" w:tentative="1">
      <w:start w:val="1"/>
      <w:numFmt w:val="decimal"/>
      <w:lvlText w:val="%4."/>
      <w:lvlJc w:val="left"/>
      <w:pPr>
        <w:ind w:left="3319" w:hanging="360"/>
      </w:pPr>
    </w:lvl>
    <w:lvl w:ilvl="4" w:tplc="10090019" w:tentative="1">
      <w:start w:val="1"/>
      <w:numFmt w:val="lowerLetter"/>
      <w:lvlText w:val="%5."/>
      <w:lvlJc w:val="left"/>
      <w:pPr>
        <w:ind w:left="4039" w:hanging="360"/>
      </w:pPr>
    </w:lvl>
    <w:lvl w:ilvl="5" w:tplc="1009001B" w:tentative="1">
      <w:start w:val="1"/>
      <w:numFmt w:val="lowerRoman"/>
      <w:lvlText w:val="%6."/>
      <w:lvlJc w:val="right"/>
      <w:pPr>
        <w:ind w:left="4759" w:hanging="180"/>
      </w:pPr>
    </w:lvl>
    <w:lvl w:ilvl="6" w:tplc="1009000F" w:tentative="1">
      <w:start w:val="1"/>
      <w:numFmt w:val="decimal"/>
      <w:lvlText w:val="%7."/>
      <w:lvlJc w:val="left"/>
      <w:pPr>
        <w:ind w:left="5479" w:hanging="360"/>
      </w:pPr>
    </w:lvl>
    <w:lvl w:ilvl="7" w:tplc="10090019" w:tentative="1">
      <w:start w:val="1"/>
      <w:numFmt w:val="lowerLetter"/>
      <w:lvlText w:val="%8."/>
      <w:lvlJc w:val="left"/>
      <w:pPr>
        <w:ind w:left="6199" w:hanging="360"/>
      </w:pPr>
    </w:lvl>
    <w:lvl w:ilvl="8" w:tplc="1009001B" w:tentative="1">
      <w:start w:val="1"/>
      <w:numFmt w:val="lowerRoman"/>
      <w:lvlText w:val="%9."/>
      <w:lvlJc w:val="right"/>
      <w:pPr>
        <w:ind w:left="6919" w:hanging="180"/>
      </w:pPr>
    </w:lvl>
  </w:abstractNum>
  <w:abstractNum w:abstractNumId="5" w15:restartNumberingAfterBreak="0">
    <w:nsid w:val="09052CCA"/>
    <w:multiLevelType w:val="hybridMultilevel"/>
    <w:tmpl w:val="DF52DB84"/>
    <w:lvl w:ilvl="0" w:tplc="D1BA592A">
      <w:start w:val="8"/>
      <w:numFmt w:val="decimal"/>
      <w:lvlText w:val="%1."/>
      <w:lvlJc w:val="left"/>
      <w:pPr>
        <w:ind w:left="1001" w:hanging="202"/>
      </w:pPr>
      <w:rPr>
        <w:rFonts w:ascii="Arial" w:eastAsia="Arial" w:hAnsi="Arial" w:cs="Arial" w:hint="default"/>
        <w:b/>
        <w:bCs/>
        <w:spacing w:val="-1"/>
        <w:w w:val="100"/>
        <w:sz w:val="18"/>
        <w:szCs w:val="18"/>
      </w:rPr>
    </w:lvl>
    <w:lvl w:ilvl="1" w:tplc="F678E7A2">
      <w:numFmt w:val="bullet"/>
      <w:lvlText w:val="•"/>
      <w:lvlJc w:val="left"/>
      <w:pPr>
        <w:ind w:left="1850" w:hanging="202"/>
      </w:pPr>
      <w:rPr>
        <w:rFonts w:hint="default"/>
      </w:rPr>
    </w:lvl>
    <w:lvl w:ilvl="2" w:tplc="C19E63AC">
      <w:numFmt w:val="bullet"/>
      <w:lvlText w:val="•"/>
      <w:lvlJc w:val="left"/>
      <w:pPr>
        <w:ind w:left="2700" w:hanging="202"/>
      </w:pPr>
      <w:rPr>
        <w:rFonts w:hint="default"/>
      </w:rPr>
    </w:lvl>
    <w:lvl w:ilvl="3" w:tplc="4A94625A">
      <w:numFmt w:val="bullet"/>
      <w:lvlText w:val="•"/>
      <w:lvlJc w:val="left"/>
      <w:pPr>
        <w:ind w:left="3550" w:hanging="202"/>
      </w:pPr>
      <w:rPr>
        <w:rFonts w:hint="default"/>
      </w:rPr>
    </w:lvl>
    <w:lvl w:ilvl="4" w:tplc="A43041F6">
      <w:numFmt w:val="bullet"/>
      <w:lvlText w:val="•"/>
      <w:lvlJc w:val="left"/>
      <w:pPr>
        <w:ind w:left="4400" w:hanging="202"/>
      </w:pPr>
      <w:rPr>
        <w:rFonts w:hint="default"/>
      </w:rPr>
    </w:lvl>
    <w:lvl w:ilvl="5" w:tplc="F70A02C4">
      <w:numFmt w:val="bullet"/>
      <w:lvlText w:val="•"/>
      <w:lvlJc w:val="left"/>
      <w:pPr>
        <w:ind w:left="5250" w:hanging="202"/>
      </w:pPr>
      <w:rPr>
        <w:rFonts w:hint="default"/>
      </w:rPr>
    </w:lvl>
    <w:lvl w:ilvl="6" w:tplc="5226FE34">
      <w:numFmt w:val="bullet"/>
      <w:lvlText w:val="•"/>
      <w:lvlJc w:val="left"/>
      <w:pPr>
        <w:ind w:left="6100" w:hanging="202"/>
      </w:pPr>
      <w:rPr>
        <w:rFonts w:hint="default"/>
      </w:rPr>
    </w:lvl>
    <w:lvl w:ilvl="7" w:tplc="D7880F6A">
      <w:numFmt w:val="bullet"/>
      <w:lvlText w:val="•"/>
      <w:lvlJc w:val="left"/>
      <w:pPr>
        <w:ind w:left="6950" w:hanging="202"/>
      </w:pPr>
      <w:rPr>
        <w:rFonts w:hint="default"/>
      </w:rPr>
    </w:lvl>
    <w:lvl w:ilvl="8" w:tplc="9AAE73E8">
      <w:numFmt w:val="bullet"/>
      <w:lvlText w:val="•"/>
      <w:lvlJc w:val="left"/>
      <w:pPr>
        <w:ind w:left="7800" w:hanging="202"/>
      </w:pPr>
      <w:rPr>
        <w:rFonts w:hint="default"/>
      </w:rPr>
    </w:lvl>
  </w:abstractNum>
  <w:abstractNum w:abstractNumId="6" w15:restartNumberingAfterBreak="0">
    <w:nsid w:val="0D2A40D5"/>
    <w:multiLevelType w:val="hybridMultilevel"/>
    <w:tmpl w:val="F0E2AD5E"/>
    <w:lvl w:ilvl="0" w:tplc="13FC28F4">
      <w:start w:val="1"/>
      <w:numFmt w:val="lowerRoman"/>
      <w:lvlText w:val="%1."/>
      <w:lvlJc w:val="left"/>
      <w:pPr>
        <w:ind w:left="2240" w:hanging="720"/>
      </w:pPr>
      <w:rPr>
        <w:rFonts w:ascii="Arial" w:eastAsia="Arial" w:hAnsi="Arial" w:cs="Arial" w:hint="default"/>
        <w:w w:val="1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17951"/>
    <w:multiLevelType w:val="hybridMultilevel"/>
    <w:tmpl w:val="C6DA2394"/>
    <w:lvl w:ilvl="0" w:tplc="7124FF36">
      <w:numFmt w:val="bullet"/>
      <w:lvlText w:val=""/>
      <w:lvlJc w:val="left"/>
      <w:pPr>
        <w:ind w:left="1736" w:hanging="360"/>
      </w:pPr>
      <w:rPr>
        <w:rFonts w:ascii="Symbol" w:eastAsia="Symbol" w:hAnsi="Symbol" w:cs="Symbol" w:hint="default"/>
        <w:w w:val="100"/>
        <w:sz w:val="16"/>
        <w:szCs w:val="16"/>
      </w:rPr>
    </w:lvl>
    <w:lvl w:ilvl="1" w:tplc="6C845FA8">
      <w:numFmt w:val="bullet"/>
      <w:lvlText w:val="•"/>
      <w:lvlJc w:val="left"/>
      <w:pPr>
        <w:ind w:left="2516" w:hanging="360"/>
      </w:pPr>
      <w:rPr>
        <w:rFonts w:hint="default"/>
      </w:rPr>
    </w:lvl>
    <w:lvl w:ilvl="2" w:tplc="0E0AF210">
      <w:numFmt w:val="bullet"/>
      <w:lvlText w:val="•"/>
      <w:lvlJc w:val="left"/>
      <w:pPr>
        <w:ind w:left="3292" w:hanging="360"/>
      </w:pPr>
      <w:rPr>
        <w:rFonts w:hint="default"/>
      </w:rPr>
    </w:lvl>
    <w:lvl w:ilvl="3" w:tplc="D1FAE066">
      <w:numFmt w:val="bullet"/>
      <w:lvlText w:val="•"/>
      <w:lvlJc w:val="left"/>
      <w:pPr>
        <w:ind w:left="4068" w:hanging="360"/>
      </w:pPr>
      <w:rPr>
        <w:rFonts w:hint="default"/>
      </w:rPr>
    </w:lvl>
    <w:lvl w:ilvl="4" w:tplc="347614EC">
      <w:numFmt w:val="bullet"/>
      <w:lvlText w:val="•"/>
      <w:lvlJc w:val="left"/>
      <w:pPr>
        <w:ind w:left="4844" w:hanging="360"/>
      </w:pPr>
      <w:rPr>
        <w:rFonts w:hint="default"/>
      </w:rPr>
    </w:lvl>
    <w:lvl w:ilvl="5" w:tplc="1BE0DFCC">
      <w:numFmt w:val="bullet"/>
      <w:lvlText w:val="•"/>
      <w:lvlJc w:val="left"/>
      <w:pPr>
        <w:ind w:left="5620" w:hanging="360"/>
      </w:pPr>
      <w:rPr>
        <w:rFonts w:hint="default"/>
      </w:rPr>
    </w:lvl>
    <w:lvl w:ilvl="6" w:tplc="0FE4EEEA">
      <w:numFmt w:val="bullet"/>
      <w:lvlText w:val="•"/>
      <w:lvlJc w:val="left"/>
      <w:pPr>
        <w:ind w:left="6396" w:hanging="360"/>
      </w:pPr>
      <w:rPr>
        <w:rFonts w:hint="default"/>
      </w:rPr>
    </w:lvl>
    <w:lvl w:ilvl="7" w:tplc="15CA4526">
      <w:numFmt w:val="bullet"/>
      <w:lvlText w:val="•"/>
      <w:lvlJc w:val="left"/>
      <w:pPr>
        <w:ind w:left="7172" w:hanging="360"/>
      </w:pPr>
      <w:rPr>
        <w:rFonts w:hint="default"/>
      </w:rPr>
    </w:lvl>
    <w:lvl w:ilvl="8" w:tplc="4984CF4A">
      <w:numFmt w:val="bullet"/>
      <w:lvlText w:val="•"/>
      <w:lvlJc w:val="left"/>
      <w:pPr>
        <w:ind w:left="7948" w:hanging="360"/>
      </w:pPr>
      <w:rPr>
        <w:rFonts w:hint="default"/>
      </w:rPr>
    </w:lvl>
  </w:abstractNum>
  <w:abstractNum w:abstractNumId="8" w15:restartNumberingAfterBreak="0">
    <w:nsid w:val="192D7EA5"/>
    <w:multiLevelType w:val="hybridMultilevel"/>
    <w:tmpl w:val="61A2E062"/>
    <w:lvl w:ilvl="0" w:tplc="30163D9E">
      <w:start w:val="14"/>
      <w:numFmt w:val="decimal"/>
      <w:lvlText w:val="%1."/>
      <w:lvlJc w:val="left"/>
      <w:pPr>
        <w:ind w:left="1159" w:hanging="360"/>
      </w:pPr>
      <w:rPr>
        <w:rFonts w:hint="default"/>
      </w:rPr>
    </w:lvl>
    <w:lvl w:ilvl="1" w:tplc="10090019" w:tentative="1">
      <w:start w:val="1"/>
      <w:numFmt w:val="lowerLetter"/>
      <w:lvlText w:val="%2."/>
      <w:lvlJc w:val="left"/>
      <w:pPr>
        <w:ind w:left="1879" w:hanging="360"/>
      </w:pPr>
    </w:lvl>
    <w:lvl w:ilvl="2" w:tplc="1009001B" w:tentative="1">
      <w:start w:val="1"/>
      <w:numFmt w:val="lowerRoman"/>
      <w:lvlText w:val="%3."/>
      <w:lvlJc w:val="right"/>
      <w:pPr>
        <w:ind w:left="2599" w:hanging="180"/>
      </w:pPr>
    </w:lvl>
    <w:lvl w:ilvl="3" w:tplc="1009000F" w:tentative="1">
      <w:start w:val="1"/>
      <w:numFmt w:val="decimal"/>
      <w:lvlText w:val="%4."/>
      <w:lvlJc w:val="left"/>
      <w:pPr>
        <w:ind w:left="3319" w:hanging="360"/>
      </w:pPr>
    </w:lvl>
    <w:lvl w:ilvl="4" w:tplc="10090019" w:tentative="1">
      <w:start w:val="1"/>
      <w:numFmt w:val="lowerLetter"/>
      <w:lvlText w:val="%5."/>
      <w:lvlJc w:val="left"/>
      <w:pPr>
        <w:ind w:left="4039" w:hanging="360"/>
      </w:pPr>
    </w:lvl>
    <w:lvl w:ilvl="5" w:tplc="1009001B" w:tentative="1">
      <w:start w:val="1"/>
      <w:numFmt w:val="lowerRoman"/>
      <w:lvlText w:val="%6."/>
      <w:lvlJc w:val="right"/>
      <w:pPr>
        <w:ind w:left="4759" w:hanging="180"/>
      </w:pPr>
    </w:lvl>
    <w:lvl w:ilvl="6" w:tplc="1009000F" w:tentative="1">
      <w:start w:val="1"/>
      <w:numFmt w:val="decimal"/>
      <w:lvlText w:val="%7."/>
      <w:lvlJc w:val="left"/>
      <w:pPr>
        <w:ind w:left="5479" w:hanging="360"/>
      </w:pPr>
    </w:lvl>
    <w:lvl w:ilvl="7" w:tplc="10090019" w:tentative="1">
      <w:start w:val="1"/>
      <w:numFmt w:val="lowerLetter"/>
      <w:lvlText w:val="%8."/>
      <w:lvlJc w:val="left"/>
      <w:pPr>
        <w:ind w:left="6199" w:hanging="360"/>
      </w:pPr>
    </w:lvl>
    <w:lvl w:ilvl="8" w:tplc="1009001B" w:tentative="1">
      <w:start w:val="1"/>
      <w:numFmt w:val="lowerRoman"/>
      <w:lvlText w:val="%9."/>
      <w:lvlJc w:val="right"/>
      <w:pPr>
        <w:ind w:left="6919" w:hanging="180"/>
      </w:pPr>
    </w:lvl>
  </w:abstractNum>
  <w:abstractNum w:abstractNumId="9" w15:restartNumberingAfterBreak="0">
    <w:nsid w:val="1CDA180D"/>
    <w:multiLevelType w:val="hybridMultilevel"/>
    <w:tmpl w:val="09460000"/>
    <w:lvl w:ilvl="0" w:tplc="5E267084">
      <w:start w:val="12"/>
      <w:numFmt w:val="decimal"/>
      <w:lvlText w:val="%1."/>
      <w:lvlJc w:val="left"/>
      <w:pPr>
        <w:ind w:left="1102" w:hanging="303"/>
      </w:pPr>
      <w:rPr>
        <w:rFonts w:hint="default"/>
        <w:b/>
        <w:bCs/>
        <w:w w:val="100"/>
      </w:rPr>
    </w:lvl>
    <w:lvl w:ilvl="1" w:tplc="E32EF820">
      <w:numFmt w:val="bullet"/>
      <w:lvlText w:val=""/>
      <w:lvlJc w:val="left"/>
      <w:pPr>
        <w:ind w:left="1808" w:hanging="432"/>
      </w:pPr>
      <w:rPr>
        <w:rFonts w:ascii="Symbol" w:eastAsia="Symbol" w:hAnsi="Symbol" w:cs="Symbol" w:hint="default"/>
        <w:w w:val="100"/>
        <w:sz w:val="16"/>
        <w:szCs w:val="16"/>
      </w:rPr>
    </w:lvl>
    <w:lvl w:ilvl="2" w:tplc="69BE3824">
      <w:numFmt w:val="bullet"/>
      <w:lvlText w:val="•"/>
      <w:lvlJc w:val="left"/>
      <w:pPr>
        <w:ind w:left="2655" w:hanging="432"/>
      </w:pPr>
      <w:rPr>
        <w:rFonts w:hint="default"/>
      </w:rPr>
    </w:lvl>
    <w:lvl w:ilvl="3" w:tplc="2A5A28F0">
      <w:numFmt w:val="bullet"/>
      <w:lvlText w:val="•"/>
      <w:lvlJc w:val="left"/>
      <w:pPr>
        <w:ind w:left="3511" w:hanging="432"/>
      </w:pPr>
      <w:rPr>
        <w:rFonts w:hint="default"/>
      </w:rPr>
    </w:lvl>
    <w:lvl w:ilvl="4" w:tplc="E23CC57E">
      <w:numFmt w:val="bullet"/>
      <w:lvlText w:val="•"/>
      <w:lvlJc w:val="left"/>
      <w:pPr>
        <w:ind w:left="4366" w:hanging="432"/>
      </w:pPr>
      <w:rPr>
        <w:rFonts w:hint="default"/>
      </w:rPr>
    </w:lvl>
    <w:lvl w:ilvl="5" w:tplc="00D402A8">
      <w:numFmt w:val="bullet"/>
      <w:lvlText w:val="•"/>
      <w:lvlJc w:val="left"/>
      <w:pPr>
        <w:ind w:left="5222" w:hanging="432"/>
      </w:pPr>
      <w:rPr>
        <w:rFonts w:hint="default"/>
      </w:rPr>
    </w:lvl>
    <w:lvl w:ilvl="6" w:tplc="51E8B16C">
      <w:numFmt w:val="bullet"/>
      <w:lvlText w:val="•"/>
      <w:lvlJc w:val="left"/>
      <w:pPr>
        <w:ind w:left="6077" w:hanging="432"/>
      </w:pPr>
      <w:rPr>
        <w:rFonts w:hint="default"/>
      </w:rPr>
    </w:lvl>
    <w:lvl w:ilvl="7" w:tplc="0A1648D4">
      <w:numFmt w:val="bullet"/>
      <w:lvlText w:val="•"/>
      <w:lvlJc w:val="left"/>
      <w:pPr>
        <w:ind w:left="6933" w:hanging="432"/>
      </w:pPr>
      <w:rPr>
        <w:rFonts w:hint="default"/>
      </w:rPr>
    </w:lvl>
    <w:lvl w:ilvl="8" w:tplc="63E6C362">
      <w:numFmt w:val="bullet"/>
      <w:lvlText w:val="•"/>
      <w:lvlJc w:val="left"/>
      <w:pPr>
        <w:ind w:left="7788" w:hanging="432"/>
      </w:pPr>
      <w:rPr>
        <w:rFonts w:hint="default"/>
      </w:rPr>
    </w:lvl>
  </w:abstractNum>
  <w:abstractNum w:abstractNumId="10" w15:restartNumberingAfterBreak="0">
    <w:nsid w:val="1D6678E0"/>
    <w:multiLevelType w:val="hybridMultilevel"/>
    <w:tmpl w:val="002E4186"/>
    <w:lvl w:ilvl="0" w:tplc="619E5F7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EDE7222"/>
    <w:multiLevelType w:val="hybridMultilevel"/>
    <w:tmpl w:val="215ABAD2"/>
    <w:lvl w:ilvl="0" w:tplc="04090001">
      <w:start w:val="1"/>
      <w:numFmt w:val="bullet"/>
      <w:lvlText w:val=""/>
      <w:lvlJc w:val="left"/>
      <w:pPr>
        <w:ind w:left="720" w:hanging="360"/>
      </w:pPr>
      <w:rPr>
        <w:rFonts w:ascii="Symbol" w:hAnsi="Symbol" w:hint="default"/>
      </w:rPr>
    </w:lvl>
    <w:lvl w:ilvl="1" w:tplc="90AEE072">
      <w:start w:val="10"/>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E19A7"/>
    <w:multiLevelType w:val="hybridMultilevel"/>
    <w:tmpl w:val="C116136C"/>
    <w:lvl w:ilvl="0" w:tplc="E440FD86">
      <w:start w:val="9"/>
      <w:numFmt w:val="decimal"/>
      <w:lvlText w:val="%1."/>
      <w:lvlJc w:val="left"/>
      <w:pPr>
        <w:ind w:left="1159" w:hanging="360"/>
      </w:pPr>
      <w:rPr>
        <w:rFonts w:hint="default"/>
      </w:rPr>
    </w:lvl>
    <w:lvl w:ilvl="1" w:tplc="10090019" w:tentative="1">
      <w:start w:val="1"/>
      <w:numFmt w:val="lowerLetter"/>
      <w:lvlText w:val="%2."/>
      <w:lvlJc w:val="left"/>
      <w:pPr>
        <w:ind w:left="1879" w:hanging="360"/>
      </w:pPr>
    </w:lvl>
    <w:lvl w:ilvl="2" w:tplc="1009001B" w:tentative="1">
      <w:start w:val="1"/>
      <w:numFmt w:val="lowerRoman"/>
      <w:lvlText w:val="%3."/>
      <w:lvlJc w:val="right"/>
      <w:pPr>
        <w:ind w:left="2599" w:hanging="180"/>
      </w:pPr>
    </w:lvl>
    <w:lvl w:ilvl="3" w:tplc="1009000F" w:tentative="1">
      <w:start w:val="1"/>
      <w:numFmt w:val="decimal"/>
      <w:lvlText w:val="%4."/>
      <w:lvlJc w:val="left"/>
      <w:pPr>
        <w:ind w:left="3319" w:hanging="360"/>
      </w:pPr>
    </w:lvl>
    <w:lvl w:ilvl="4" w:tplc="10090019" w:tentative="1">
      <w:start w:val="1"/>
      <w:numFmt w:val="lowerLetter"/>
      <w:lvlText w:val="%5."/>
      <w:lvlJc w:val="left"/>
      <w:pPr>
        <w:ind w:left="4039" w:hanging="360"/>
      </w:pPr>
    </w:lvl>
    <w:lvl w:ilvl="5" w:tplc="1009001B" w:tentative="1">
      <w:start w:val="1"/>
      <w:numFmt w:val="lowerRoman"/>
      <w:lvlText w:val="%6."/>
      <w:lvlJc w:val="right"/>
      <w:pPr>
        <w:ind w:left="4759" w:hanging="180"/>
      </w:pPr>
    </w:lvl>
    <w:lvl w:ilvl="6" w:tplc="1009000F" w:tentative="1">
      <w:start w:val="1"/>
      <w:numFmt w:val="decimal"/>
      <w:lvlText w:val="%7."/>
      <w:lvlJc w:val="left"/>
      <w:pPr>
        <w:ind w:left="5479" w:hanging="360"/>
      </w:pPr>
    </w:lvl>
    <w:lvl w:ilvl="7" w:tplc="10090019" w:tentative="1">
      <w:start w:val="1"/>
      <w:numFmt w:val="lowerLetter"/>
      <w:lvlText w:val="%8."/>
      <w:lvlJc w:val="left"/>
      <w:pPr>
        <w:ind w:left="6199" w:hanging="360"/>
      </w:pPr>
    </w:lvl>
    <w:lvl w:ilvl="8" w:tplc="1009001B" w:tentative="1">
      <w:start w:val="1"/>
      <w:numFmt w:val="lowerRoman"/>
      <w:lvlText w:val="%9."/>
      <w:lvlJc w:val="right"/>
      <w:pPr>
        <w:ind w:left="6919" w:hanging="180"/>
      </w:pPr>
    </w:lvl>
  </w:abstractNum>
  <w:abstractNum w:abstractNumId="13" w15:restartNumberingAfterBreak="0">
    <w:nsid w:val="29025B20"/>
    <w:multiLevelType w:val="hybridMultilevel"/>
    <w:tmpl w:val="EFA0581C"/>
    <w:lvl w:ilvl="0" w:tplc="B42A21B8">
      <w:start w:val="1"/>
      <w:numFmt w:val="decimal"/>
      <w:lvlText w:val="%1."/>
      <w:lvlJc w:val="left"/>
      <w:pPr>
        <w:ind w:left="1001" w:hanging="202"/>
      </w:pPr>
      <w:rPr>
        <w:rFonts w:ascii="Arial" w:eastAsia="Arial" w:hAnsi="Arial" w:cs="Arial" w:hint="default"/>
        <w:b/>
        <w:bCs/>
        <w:spacing w:val="-1"/>
        <w:w w:val="100"/>
        <w:sz w:val="18"/>
        <w:szCs w:val="18"/>
      </w:rPr>
    </w:lvl>
    <w:lvl w:ilvl="1" w:tplc="13FC28F4">
      <w:start w:val="1"/>
      <w:numFmt w:val="lowerRoman"/>
      <w:lvlText w:val="%2."/>
      <w:lvlJc w:val="left"/>
      <w:pPr>
        <w:ind w:left="2240" w:hanging="720"/>
      </w:pPr>
      <w:rPr>
        <w:rFonts w:ascii="Arial" w:eastAsia="Arial" w:hAnsi="Arial" w:cs="Arial" w:hint="default"/>
        <w:w w:val="100"/>
        <w:sz w:val="16"/>
        <w:szCs w:val="16"/>
      </w:rPr>
    </w:lvl>
    <w:lvl w:ilvl="2" w:tplc="63622492">
      <w:numFmt w:val="bullet"/>
      <w:lvlText w:val="•"/>
      <w:lvlJc w:val="left"/>
      <w:pPr>
        <w:ind w:left="3046" w:hanging="720"/>
      </w:pPr>
      <w:rPr>
        <w:rFonts w:hint="default"/>
      </w:rPr>
    </w:lvl>
    <w:lvl w:ilvl="3" w:tplc="7172B684">
      <w:numFmt w:val="bullet"/>
      <w:lvlText w:val="•"/>
      <w:lvlJc w:val="left"/>
      <w:pPr>
        <w:ind w:left="3853" w:hanging="720"/>
      </w:pPr>
      <w:rPr>
        <w:rFonts w:hint="default"/>
      </w:rPr>
    </w:lvl>
    <w:lvl w:ilvl="4" w:tplc="6A06EF74">
      <w:numFmt w:val="bullet"/>
      <w:lvlText w:val="•"/>
      <w:lvlJc w:val="left"/>
      <w:pPr>
        <w:ind w:left="4660" w:hanging="720"/>
      </w:pPr>
      <w:rPr>
        <w:rFonts w:hint="default"/>
      </w:rPr>
    </w:lvl>
    <w:lvl w:ilvl="5" w:tplc="F96E9622">
      <w:numFmt w:val="bullet"/>
      <w:lvlText w:val="•"/>
      <w:lvlJc w:val="left"/>
      <w:pPr>
        <w:ind w:left="5466" w:hanging="720"/>
      </w:pPr>
      <w:rPr>
        <w:rFonts w:hint="default"/>
      </w:rPr>
    </w:lvl>
    <w:lvl w:ilvl="6" w:tplc="2C5400B2">
      <w:numFmt w:val="bullet"/>
      <w:lvlText w:val="•"/>
      <w:lvlJc w:val="left"/>
      <w:pPr>
        <w:ind w:left="6273" w:hanging="720"/>
      </w:pPr>
      <w:rPr>
        <w:rFonts w:hint="default"/>
      </w:rPr>
    </w:lvl>
    <w:lvl w:ilvl="7" w:tplc="F118A650">
      <w:numFmt w:val="bullet"/>
      <w:lvlText w:val="•"/>
      <w:lvlJc w:val="left"/>
      <w:pPr>
        <w:ind w:left="7080" w:hanging="720"/>
      </w:pPr>
      <w:rPr>
        <w:rFonts w:hint="default"/>
      </w:rPr>
    </w:lvl>
    <w:lvl w:ilvl="8" w:tplc="F14A45E0">
      <w:numFmt w:val="bullet"/>
      <w:lvlText w:val="•"/>
      <w:lvlJc w:val="left"/>
      <w:pPr>
        <w:ind w:left="7886" w:hanging="720"/>
      </w:pPr>
      <w:rPr>
        <w:rFonts w:hint="default"/>
      </w:rPr>
    </w:lvl>
  </w:abstractNum>
  <w:abstractNum w:abstractNumId="14" w15:restartNumberingAfterBreak="0">
    <w:nsid w:val="2B063D5B"/>
    <w:multiLevelType w:val="hybridMultilevel"/>
    <w:tmpl w:val="DAAE07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D251BB7"/>
    <w:multiLevelType w:val="hybridMultilevel"/>
    <w:tmpl w:val="18D29AD6"/>
    <w:lvl w:ilvl="0" w:tplc="5E267084">
      <w:start w:val="12"/>
      <w:numFmt w:val="decimal"/>
      <w:lvlText w:val="%1."/>
      <w:lvlJc w:val="left"/>
      <w:pPr>
        <w:ind w:left="1102" w:hanging="303"/>
      </w:pPr>
      <w:rPr>
        <w:rFonts w:hint="default"/>
        <w:b/>
        <w:bCs/>
        <w:w w:val="100"/>
      </w:rPr>
    </w:lvl>
    <w:lvl w:ilvl="1" w:tplc="E32EF820">
      <w:numFmt w:val="bullet"/>
      <w:lvlText w:val=""/>
      <w:lvlJc w:val="left"/>
      <w:pPr>
        <w:ind w:left="1808" w:hanging="432"/>
      </w:pPr>
      <w:rPr>
        <w:rFonts w:ascii="Symbol" w:eastAsia="Symbol" w:hAnsi="Symbol" w:cs="Symbol" w:hint="default"/>
        <w:w w:val="100"/>
        <w:sz w:val="16"/>
        <w:szCs w:val="16"/>
      </w:rPr>
    </w:lvl>
    <w:lvl w:ilvl="2" w:tplc="69BE3824">
      <w:numFmt w:val="bullet"/>
      <w:lvlText w:val="•"/>
      <w:lvlJc w:val="left"/>
      <w:pPr>
        <w:ind w:left="2655" w:hanging="432"/>
      </w:pPr>
      <w:rPr>
        <w:rFonts w:hint="default"/>
      </w:rPr>
    </w:lvl>
    <w:lvl w:ilvl="3" w:tplc="2A5A28F0">
      <w:numFmt w:val="bullet"/>
      <w:lvlText w:val="•"/>
      <w:lvlJc w:val="left"/>
      <w:pPr>
        <w:ind w:left="3511" w:hanging="432"/>
      </w:pPr>
      <w:rPr>
        <w:rFonts w:hint="default"/>
      </w:rPr>
    </w:lvl>
    <w:lvl w:ilvl="4" w:tplc="E23CC57E">
      <w:numFmt w:val="bullet"/>
      <w:lvlText w:val="•"/>
      <w:lvlJc w:val="left"/>
      <w:pPr>
        <w:ind w:left="4366" w:hanging="432"/>
      </w:pPr>
      <w:rPr>
        <w:rFonts w:hint="default"/>
      </w:rPr>
    </w:lvl>
    <w:lvl w:ilvl="5" w:tplc="00D402A8">
      <w:numFmt w:val="bullet"/>
      <w:lvlText w:val="•"/>
      <w:lvlJc w:val="left"/>
      <w:pPr>
        <w:ind w:left="5222" w:hanging="432"/>
      </w:pPr>
      <w:rPr>
        <w:rFonts w:hint="default"/>
      </w:rPr>
    </w:lvl>
    <w:lvl w:ilvl="6" w:tplc="51E8B16C">
      <w:numFmt w:val="bullet"/>
      <w:lvlText w:val="•"/>
      <w:lvlJc w:val="left"/>
      <w:pPr>
        <w:ind w:left="6077" w:hanging="432"/>
      </w:pPr>
      <w:rPr>
        <w:rFonts w:hint="default"/>
      </w:rPr>
    </w:lvl>
    <w:lvl w:ilvl="7" w:tplc="0A1648D4">
      <w:numFmt w:val="bullet"/>
      <w:lvlText w:val="•"/>
      <w:lvlJc w:val="left"/>
      <w:pPr>
        <w:ind w:left="6933" w:hanging="432"/>
      </w:pPr>
      <w:rPr>
        <w:rFonts w:hint="default"/>
      </w:rPr>
    </w:lvl>
    <w:lvl w:ilvl="8" w:tplc="63E6C362">
      <w:numFmt w:val="bullet"/>
      <w:lvlText w:val="•"/>
      <w:lvlJc w:val="left"/>
      <w:pPr>
        <w:ind w:left="7788" w:hanging="432"/>
      </w:pPr>
      <w:rPr>
        <w:rFonts w:hint="default"/>
      </w:rPr>
    </w:lvl>
  </w:abstractNum>
  <w:abstractNum w:abstractNumId="16" w15:restartNumberingAfterBreak="0">
    <w:nsid w:val="3B4B6B5C"/>
    <w:multiLevelType w:val="hybridMultilevel"/>
    <w:tmpl w:val="09460000"/>
    <w:lvl w:ilvl="0" w:tplc="5E267084">
      <w:start w:val="12"/>
      <w:numFmt w:val="decimal"/>
      <w:lvlText w:val="%1."/>
      <w:lvlJc w:val="left"/>
      <w:pPr>
        <w:ind w:left="1102" w:hanging="303"/>
      </w:pPr>
      <w:rPr>
        <w:rFonts w:hint="default"/>
        <w:b/>
        <w:bCs/>
        <w:w w:val="100"/>
      </w:rPr>
    </w:lvl>
    <w:lvl w:ilvl="1" w:tplc="E32EF820">
      <w:numFmt w:val="bullet"/>
      <w:lvlText w:val=""/>
      <w:lvlJc w:val="left"/>
      <w:pPr>
        <w:ind w:left="1808" w:hanging="432"/>
      </w:pPr>
      <w:rPr>
        <w:rFonts w:ascii="Symbol" w:eastAsia="Symbol" w:hAnsi="Symbol" w:cs="Symbol" w:hint="default"/>
        <w:w w:val="100"/>
        <w:sz w:val="16"/>
        <w:szCs w:val="16"/>
      </w:rPr>
    </w:lvl>
    <w:lvl w:ilvl="2" w:tplc="69BE3824">
      <w:numFmt w:val="bullet"/>
      <w:lvlText w:val="•"/>
      <w:lvlJc w:val="left"/>
      <w:pPr>
        <w:ind w:left="2655" w:hanging="432"/>
      </w:pPr>
      <w:rPr>
        <w:rFonts w:hint="default"/>
      </w:rPr>
    </w:lvl>
    <w:lvl w:ilvl="3" w:tplc="2A5A28F0">
      <w:numFmt w:val="bullet"/>
      <w:lvlText w:val="•"/>
      <w:lvlJc w:val="left"/>
      <w:pPr>
        <w:ind w:left="3511" w:hanging="432"/>
      </w:pPr>
      <w:rPr>
        <w:rFonts w:hint="default"/>
      </w:rPr>
    </w:lvl>
    <w:lvl w:ilvl="4" w:tplc="E23CC57E">
      <w:numFmt w:val="bullet"/>
      <w:lvlText w:val="•"/>
      <w:lvlJc w:val="left"/>
      <w:pPr>
        <w:ind w:left="4366" w:hanging="432"/>
      </w:pPr>
      <w:rPr>
        <w:rFonts w:hint="default"/>
      </w:rPr>
    </w:lvl>
    <w:lvl w:ilvl="5" w:tplc="00D402A8">
      <w:numFmt w:val="bullet"/>
      <w:lvlText w:val="•"/>
      <w:lvlJc w:val="left"/>
      <w:pPr>
        <w:ind w:left="5222" w:hanging="432"/>
      </w:pPr>
      <w:rPr>
        <w:rFonts w:hint="default"/>
      </w:rPr>
    </w:lvl>
    <w:lvl w:ilvl="6" w:tplc="51E8B16C">
      <w:numFmt w:val="bullet"/>
      <w:lvlText w:val="•"/>
      <w:lvlJc w:val="left"/>
      <w:pPr>
        <w:ind w:left="6077" w:hanging="432"/>
      </w:pPr>
      <w:rPr>
        <w:rFonts w:hint="default"/>
      </w:rPr>
    </w:lvl>
    <w:lvl w:ilvl="7" w:tplc="0A1648D4">
      <w:numFmt w:val="bullet"/>
      <w:lvlText w:val="•"/>
      <w:lvlJc w:val="left"/>
      <w:pPr>
        <w:ind w:left="6933" w:hanging="432"/>
      </w:pPr>
      <w:rPr>
        <w:rFonts w:hint="default"/>
      </w:rPr>
    </w:lvl>
    <w:lvl w:ilvl="8" w:tplc="63E6C362">
      <w:numFmt w:val="bullet"/>
      <w:lvlText w:val="•"/>
      <w:lvlJc w:val="left"/>
      <w:pPr>
        <w:ind w:left="7788" w:hanging="432"/>
      </w:pPr>
      <w:rPr>
        <w:rFonts w:hint="default"/>
      </w:rPr>
    </w:lvl>
  </w:abstractNum>
  <w:abstractNum w:abstractNumId="17" w15:restartNumberingAfterBreak="0">
    <w:nsid w:val="41686417"/>
    <w:multiLevelType w:val="hybridMultilevel"/>
    <w:tmpl w:val="F378E1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82B4FC6"/>
    <w:multiLevelType w:val="hybridMultilevel"/>
    <w:tmpl w:val="09460000"/>
    <w:lvl w:ilvl="0" w:tplc="5E267084">
      <w:start w:val="12"/>
      <w:numFmt w:val="decimal"/>
      <w:lvlText w:val="%1."/>
      <w:lvlJc w:val="left"/>
      <w:pPr>
        <w:ind w:left="1102" w:hanging="303"/>
      </w:pPr>
      <w:rPr>
        <w:rFonts w:hint="default"/>
        <w:b/>
        <w:bCs/>
        <w:w w:val="100"/>
      </w:rPr>
    </w:lvl>
    <w:lvl w:ilvl="1" w:tplc="E32EF820">
      <w:numFmt w:val="bullet"/>
      <w:lvlText w:val=""/>
      <w:lvlJc w:val="left"/>
      <w:pPr>
        <w:ind w:left="1808" w:hanging="432"/>
      </w:pPr>
      <w:rPr>
        <w:rFonts w:ascii="Symbol" w:eastAsia="Symbol" w:hAnsi="Symbol" w:cs="Symbol" w:hint="default"/>
        <w:w w:val="100"/>
        <w:sz w:val="16"/>
        <w:szCs w:val="16"/>
      </w:rPr>
    </w:lvl>
    <w:lvl w:ilvl="2" w:tplc="69BE3824">
      <w:numFmt w:val="bullet"/>
      <w:lvlText w:val="•"/>
      <w:lvlJc w:val="left"/>
      <w:pPr>
        <w:ind w:left="2655" w:hanging="432"/>
      </w:pPr>
      <w:rPr>
        <w:rFonts w:hint="default"/>
      </w:rPr>
    </w:lvl>
    <w:lvl w:ilvl="3" w:tplc="2A5A28F0">
      <w:numFmt w:val="bullet"/>
      <w:lvlText w:val="•"/>
      <w:lvlJc w:val="left"/>
      <w:pPr>
        <w:ind w:left="3511" w:hanging="432"/>
      </w:pPr>
      <w:rPr>
        <w:rFonts w:hint="default"/>
      </w:rPr>
    </w:lvl>
    <w:lvl w:ilvl="4" w:tplc="E23CC57E">
      <w:numFmt w:val="bullet"/>
      <w:lvlText w:val="•"/>
      <w:lvlJc w:val="left"/>
      <w:pPr>
        <w:ind w:left="4366" w:hanging="432"/>
      </w:pPr>
      <w:rPr>
        <w:rFonts w:hint="default"/>
      </w:rPr>
    </w:lvl>
    <w:lvl w:ilvl="5" w:tplc="00D402A8">
      <w:numFmt w:val="bullet"/>
      <w:lvlText w:val="•"/>
      <w:lvlJc w:val="left"/>
      <w:pPr>
        <w:ind w:left="5222" w:hanging="432"/>
      </w:pPr>
      <w:rPr>
        <w:rFonts w:hint="default"/>
      </w:rPr>
    </w:lvl>
    <w:lvl w:ilvl="6" w:tplc="51E8B16C">
      <w:numFmt w:val="bullet"/>
      <w:lvlText w:val="•"/>
      <w:lvlJc w:val="left"/>
      <w:pPr>
        <w:ind w:left="6077" w:hanging="432"/>
      </w:pPr>
      <w:rPr>
        <w:rFonts w:hint="default"/>
      </w:rPr>
    </w:lvl>
    <w:lvl w:ilvl="7" w:tplc="0A1648D4">
      <w:numFmt w:val="bullet"/>
      <w:lvlText w:val="•"/>
      <w:lvlJc w:val="left"/>
      <w:pPr>
        <w:ind w:left="6933" w:hanging="432"/>
      </w:pPr>
      <w:rPr>
        <w:rFonts w:hint="default"/>
      </w:rPr>
    </w:lvl>
    <w:lvl w:ilvl="8" w:tplc="63E6C362">
      <w:numFmt w:val="bullet"/>
      <w:lvlText w:val="•"/>
      <w:lvlJc w:val="left"/>
      <w:pPr>
        <w:ind w:left="7788" w:hanging="432"/>
      </w:pPr>
      <w:rPr>
        <w:rFonts w:hint="default"/>
      </w:rPr>
    </w:lvl>
  </w:abstractNum>
  <w:abstractNum w:abstractNumId="19" w15:restartNumberingAfterBreak="0">
    <w:nsid w:val="489842DC"/>
    <w:multiLevelType w:val="hybridMultilevel"/>
    <w:tmpl w:val="EFA0581C"/>
    <w:lvl w:ilvl="0" w:tplc="B42A21B8">
      <w:start w:val="1"/>
      <w:numFmt w:val="decimal"/>
      <w:lvlText w:val="%1."/>
      <w:lvlJc w:val="left"/>
      <w:pPr>
        <w:ind w:left="1001" w:hanging="202"/>
      </w:pPr>
      <w:rPr>
        <w:rFonts w:ascii="Arial" w:eastAsia="Arial" w:hAnsi="Arial" w:cs="Arial" w:hint="default"/>
        <w:b/>
        <w:bCs/>
        <w:spacing w:val="-1"/>
        <w:w w:val="100"/>
        <w:sz w:val="18"/>
        <w:szCs w:val="18"/>
      </w:rPr>
    </w:lvl>
    <w:lvl w:ilvl="1" w:tplc="13FC28F4">
      <w:start w:val="1"/>
      <w:numFmt w:val="lowerRoman"/>
      <w:lvlText w:val="%2."/>
      <w:lvlJc w:val="left"/>
      <w:pPr>
        <w:ind w:left="2240" w:hanging="720"/>
      </w:pPr>
      <w:rPr>
        <w:rFonts w:ascii="Arial" w:eastAsia="Arial" w:hAnsi="Arial" w:cs="Arial" w:hint="default"/>
        <w:w w:val="100"/>
        <w:sz w:val="16"/>
        <w:szCs w:val="16"/>
      </w:rPr>
    </w:lvl>
    <w:lvl w:ilvl="2" w:tplc="63622492">
      <w:numFmt w:val="bullet"/>
      <w:lvlText w:val="•"/>
      <w:lvlJc w:val="left"/>
      <w:pPr>
        <w:ind w:left="3046" w:hanging="720"/>
      </w:pPr>
      <w:rPr>
        <w:rFonts w:hint="default"/>
      </w:rPr>
    </w:lvl>
    <w:lvl w:ilvl="3" w:tplc="7172B684">
      <w:numFmt w:val="bullet"/>
      <w:lvlText w:val="•"/>
      <w:lvlJc w:val="left"/>
      <w:pPr>
        <w:ind w:left="3853" w:hanging="720"/>
      </w:pPr>
      <w:rPr>
        <w:rFonts w:hint="default"/>
      </w:rPr>
    </w:lvl>
    <w:lvl w:ilvl="4" w:tplc="6A06EF74">
      <w:numFmt w:val="bullet"/>
      <w:lvlText w:val="•"/>
      <w:lvlJc w:val="left"/>
      <w:pPr>
        <w:ind w:left="4660" w:hanging="720"/>
      </w:pPr>
      <w:rPr>
        <w:rFonts w:hint="default"/>
      </w:rPr>
    </w:lvl>
    <w:lvl w:ilvl="5" w:tplc="F96E9622">
      <w:numFmt w:val="bullet"/>
      <w:lvlText w:val="•"/>
      <w:lvlJc w:val="left"/>
      <w:pPr>
        <w:ind w:left="5466" w:hanging="720"/>
      </w:pPr>
      <w:rPr>
        <w:rFonts w:hint="default"/>
      </w:rPr>
    </w:lvl>
    <w:lvl w:ilvl="6" w:tplc="2C5400B2">
      <w:numFmt w:val="bullet"/>
      <w:lvlText w:val="•"/>
      <w:lvlJc w:val="left"/>
      <w:pPr>
        <w:ind w:left="6273" w:hanging="720"/>
      </w:pPr>
      <w:rPr>
        <w:rFonts w:hint="default"/>
      </w:rPr>
    </w:lvl>
    <w:lvl w:ilvl="7" w:tplc="F118A650">
      <w:numFmt w:val="bullet"/>
      <w:lvlText w:val="•"/>
      <w:lvlJc w:val="left"/>
      <w:pPr>
        <w:ind w:left="7080" w:hanging="720"/>
      </w:pPr>
      <w:rPr>
        <w:rFonts w:hint="default"/>
      </w:rPr>
    </w:lvl>
    <w:lvl w:ilvl="8" w:tplc="F14A45E0">
      <w:numFmt w:val="bullet"/>
      <w:lvlText w:val="•"/>
      <w:lvlJc w:val="left"/>
      <w:pPr>
        <w:ind w:left="7886" w:hanging="720"/>
      </w:pPr>
      <w:rPr>
        <w:rFonts w:hint="default"/>
      </w:rPr>
    </w:lvl>
  </w:abstractNum>
  <w:abstractNum w:abstractNumId="20" w15:restartNumberingAfterBreak="0">
    <w:nsid w:val="493074E8"/>
    <w:multiLevelType w:val="hybridMultilevel"/>
    <w:tmpl w:val="737E11D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52BE0210"/>
    <w:multiLevelType w:val="hybridMultilevel"/>
    <w:tmpl w:val="B6F8E1F2"/>
    <w:lvl w:ilvl="0" w:tplc="806E8212">
      <w:start w:val="1"/>
      <w:numFmt w:val="lowerRoman"/>
      <w:lvlText w:val="%1."/>
      <w:lvlJc w:val="left"/>
      <w:pPr>
        <w:ind w:left="1232" w:hanging="432"/>
      </w:pPr>
      <w:rPr>
        <w:rFonts w:ascii="Arial" w:eastAsia="Arial" w:hAnsi="Arial" w:cs="Arial" w:hint="default"/>
        <w:b/>
        <w:bCs/>
        <w:w w:val="100"/>
        <w:sz w:val="16"/>
        <w:szCs w:val="16"/>
      </w:rPr>
    </w:lvl>
    <w:lvl w:ilvl="1" w:tplc="8CEA4D9E">
      <w:numFmt w:val="bullet"/>
      <w:lvlText w:val="•"/>
      <w:lvlJc w:val="left"/>
      <w:pPr>
        <w:ind w:left="2066" w:hanging="432"/>
      </w:pPr>
      <w:rPr>
        <w:rFonts w:hint="default"/>
      </w:rPr>
    </w:lvl>
    <w:lvl w:ilvl="2" w:tplc="1B32D4BA">
      <w:numFmt w:val="bullet"/>
      <w:lvlText w:val="•"/>
      <w:lvlJc w:val="left"/>
      <w:pPr>
        <w:ind w:left="2892" w:hanging="432"/>
      </w:pPr>
      <w:rPr>
        <w:rFonts w:hint="default"/>
      </w:rPr>
    </w:lvl>
    <w:lvl w:ilvl="3" w:tplc="7CDA47B6">
      <w:numFmt w:val="bullet"/>
      <w:lvlText w:val="•"/>
      <w:lvlJc w:val="left"/>
      <w:pPr>
        <w:ind w:left="3718" w:hanging="432"/>
      </w:pPr>
      <w:rPr>
        <w:rFonts w:hint="default"/>
      </w:rPr>
    </w:lvl>
    <w:lvl w:ilvl="4" w:tplc="693A77E0">
      <w:numFmt w:val="bullet"/>
      <w:lvlText w:val="•"/>
      <w:lvlJc w:val="left"/>
      <w:pPr>
        <w:ind w:left="4544" w:hanging="432"/>
      </w:pPr>
      <w:rPr>
        <w:rFonts w:hint="default"/>
      </w:rPr>
    </w:lvl>
    <w:lvl w:ilvl="5" w:tplc="5398481E">
      <w:numFmt w:val="bullet"/>
      <w:lvlText w:val="•"/>
      <w:lvlJc w:val="left"/>
      <w:pPr>
        <w:ind w:left="5370" w:hanging="432"/>
      </w:pPr>
      <w:rPr>
        <w:rFonts w:hint="default"/>
      </w:rPr>
    </w:lvl>
    <w:lvl w:ilvl="6" w:tplc="10A4E1D4">
      <w:numFmt w:val="bullet"/>
      <w:lvlText w:val="•"/>
      <w:lvlJc w:val="left"/>
      <w:pPr>
        <w:ind w:left="6196" w:hanging="432"/>
      </w:pPr>
      <w:rPr>
        <w:rFonts w:hint="default"/>
      </w:rPr>
    </w:lvl>
    <w:lvl w:ilvl="7" w:tplc="411C3C14">
      <w:numFmt w:val="bullet"/>
      <w:lvlText w:val="•"/>
      <w:lvlJc w:val="left"/>
      <w:pPr>
        <w:ind w:left="7022" w:hanging="432"/>
      </w:pPr>
      <w:rPr>
        <w:rFonts w:hint="default"/>
      </w:rPr>
    </w:lvl>
    <w:lvl w:ilvl="8" w:tplc="2222D03C">
      <w:numFmt w:val="bullet"/>
      <w:lvlText w:val="•"/>
      <w:lvlJc w:val="left"/>
      <w:pPr>
        <w:ind w:left="7848" w:hanging="432"/>
      </w:pPr>
      <w:rPr>
        <w:rFonts w:hint="default"/>
      </w:rPr>
    </w:lvl>
  </w:abstractNum>
  <w:abstractNum w:abstractNumId="22" w15:restartNumberingAfterBreak="0">
    <w:nsid w:val="5DE026C1"/>
    <w:multiLevelType w:val="hybridMultilevel"/>
    <w:tmpl w:val="00088AD6"/>
    <w:lvl w:ilvl="0" w:tplc="10090001">
      <w:start w:val="1"/>
      <w:numFmt w:val="bullet"/>
      <w:lvlText w:val=""/>
      <w:lvlJc w:val="left"/>
      <w:pPr>
        <w:ind w:left="2721" w:hanging="360"/>
      </w:pPr>
      <w:rPr>
        <w:rFonts w:ascii="Symbol" w:hAnsi="Symbol" w:hint="default"/>
      </w:rPr>
    </w:lvl>
    <w:lvl w:ilvl="1" w:tplc="10090003" w:tentative="1">
      <w:start w:val="1"/>
      <w:numFmt w:val="bullet"/>
      <w:lvlText w:val="o"/>
      <w:lvlJc w:val="left"/>
      <w:pPr>
        <w:ind w:left="3441" w:hanging="360"/>
      </w:pPr>
      <w:rPr>
        <w:rFonts w:ascii="Courier New" w:hAnsi="Courier New" w:cs="Courier New" w:hint="default"/>
      </w:rPr>
    </w:lvl>
    <w:lvl w:ilvl="2" w:tplc="10090005" w:tentative="1">
      <w:start w:val="1"/>
      <w:numFmt w:val="bullet"/>
      <w:lvlText w:val=""/>
      <w:lvlJc w:val="left"/>
      <w:pPr>
        <w:ind w:left="4161" w:hanging="360"/>
      </w:pPr>
      <w:rPr>
        <w:rFonts w:ascii="Wingdings" w:hAnsi="Wingdings" w:hint="default"/>
      </w:rPr>
    </w:lvl>
    <w:lvl w:ilvl="3" w:tplc="10090001" w:tentative="1">
      <w:start w:val="1"/>
      <w:numFmt w:val="bullet"/>
      <w:lvlText w:val=""/>
      <w:lvlJc w:val="left"/>
      <w:pPr>
        <w:ind w:left="4881" w:hanging="360"/>
      </w:pPr>
      <w:rPr>
        <w:rFonts w:ascii="Symbol" w:hAnsi="Symbol" w:hint="default"/>
      </w:rPr>
    </w:lvl>
    <w:lvl w:ilvl="4" w:tplc="10090003" w:tentative="1">
      <w:start w:val="1"/>
      <w:numFmt w:val="bullet"/>
      <w:lvlText w:val="o"/>
      <w:lvlJc w:val="left"/>
      <w:pPr>
        <w:ind w:left="5601" w:hanging="360"/>
      </w:pPr>
      <w:rPr>
        <w:rFonts w:ascii="Courier New" w:hAnsi="Courier New" w:cs="Courier New" w:hint="default"/>
      </w:rPr>
    </w:lvl>
    <w:lvl w:ilvl="5" w:tplc="10090005" w:tentative="1">
      <w:start w:val="1"/>
      <w:numFmt w:val="bullet"/>
      <w:lvlText w:val=""/>
      <w:lvlJc w:val="left"/>
      <w:pPr>
        <w:ind w:left="6321" w:hanging="360"/>
      </w:pPr>
      <w:rPr>
        <w:rFonts w:ascii="Wingdings" w:hAnsi="Wingdings" w:hint="default"/>
      </w:rPr>
    </w:lvl>
    <w:lvl w:ilvl="6" w:tplc="10090001" w:tentative="1">
      <w:start w:val="1"/>
      <w:numFmt w:val="bullet"/>
      <w:lvlText w:val=""/>
      <w:lvlJc w:val="left"/>
      <w:pPr>
        <w:ind w:left="7041" w:hanging="360"/>
      </w:pPr>
      <w:rPr>
        <w:rFonts w:ascii="Symbol" w:hAnsi="Symbol" w:hint="default"/>
      </w:rPr>
    </w:lvl>
    <w:lvl w:ilvl="7" w:tplc="10090003" w:tentative="1">
      <w:start w:val="1"/>
      <w:numFmt w:val="bullet"/>
      <w:lvlText w:val="o"/>
      <w:lvlJc w:val="left"/>
      <w:pPr>
        <w:ind w:left="7761" w:hanging="360"/>
      </w:pPr>
      <w:rPr>
        <w:rFonts w:ascii="Courier New" w:hAnsi="Courier New" w:cs="Courier New" w:hint="default"/>
      </w:rPr>
    </w:lvl>
    <w:lvl w:ilvl="8" w:tplc="10090005" w:tentative="1">
      <w:start w:val="1"/>
      <w:numFmt w:val="bullet"/>
      <w:lvlText w:val=""/>
      <w:lvlJc w:val="left"/>
      <w:pPr>
        <w:ind w:left="8481" w:hanging="360"/>
      </w:pPr>
      <w:rPr>
        <w:rFonts w:ascii="Wingdings" w:hAnsi="Wingdings" w:hint="default"/>
      </w:rPr>
    </w:lvl>
  </w:abstractNum>
  <w:abstractNum w:abstractNumId="23" w15:restartNumberingAfterBreak="0">
    <w:nsid w:val="63435CE0"/>
    <w:multiLevelType w:val="hybridMultilevel"/>
    <w:tmpl w:val="DDB64F96"/>
    <w:lvl w:ilvl="0" w:tplc="0100DCFA">
      <w:numFmt w:val="bullet"/>
      <w:lvlText w:val="-"/>
      <w:lvlJc w:val="left"/>
      <w:pPr>
        <w:ind w:left="855" w:hanging="360"/>
      </w:pPr>
      <w:rPr>
        <w:rFonts w:ascii="Arial" w:eastAsia="Arial" w:hAnsi="Arial" w:cs="Aria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4" w15:restartNumberingAfterBreak="0">
    <w:nsid w:val="6D0D6697"/>
    <w:multiLevelType w:val="hybridMultilevel"/>
    <w:tmpl w:val="09460000"/>
    <w:lvl w:ilvl="0" w:tplc="5E267084">
      <w:start w:val="12"/>
      <w:numFmt w:val="decimal"/>
      <w:lvlText w:val="%1."/>
      <w:lvlJc w:val="left"/>
      <w:pPr>
        <w:ind w:left="1102" w:hanging="303"/>
      </w:pPr>
      <w:rPr>
        <w:rFonts w:hint="default"/>
        <w:b/>
        <w:bCs/>
        <w:w w:val="100"/>
      </w:rPr>
    </w:lvl>
    <w:lvl w:ilvl="1" w:tplc="E32EF820">
      <w:numFmt w:val="bullet"/>
      <w:lvlText w:val=""/>
      <w:lvlJc w:val="left"/>
      <w:pPr>
        <w:ind w:left="1808" w:hanging="432"/>
      </w:pPr>
      <w:rPr>
        <w:rFonts w:ascii="Symbol" w:eastAsia="Symbol" w:hAnsi="Symbol" w:cs="Symbol" w:hint="default"/>
        <w:w w:val="100"/>
        <w:sz w:val="16"/>
        <w:szCs w:val="16"/>
      </w:rPr>
    </w:lvl>
    <w:lvl w:ilvl="2" w:tplc="69BE3824">
      <w:numFmt w:val="bullet"/>
      <w:lvlText w:val="•"/>
      <w:lvlJc w:val="left"/>
      <w:pPr>
        <w:ind w:left="2655" w:hanging="432"/>
      </w:pPr>
      <w:rPr>
        <w:rFonts w:hint="default"/>
      </w:rPr>
    </w:lvl>
    <w:lvl w:ilvl="3" w:tplc="2A5A28F0">
      <w:numFmt w:val="bullet"/>
      <w:lvlText w:val="•"/>
      <w:lvlJc w:val="left"/>
      <w:pPr>
        <w:ind w:left="3511" w:hanging="432"/>
      </w:pPr>
      <w:rPr>
        <w:rFonts w:hint="default"/>
      </w:rPr>
    </w:lvl>
    <w:lvl w:ilvl="4" w:tplc="E23CC57E">
      <w:numFmt w:val="bullet"/>
      <w:lvlText w:val="•"/>
      <w:lvlJc w:val="left"/>
      <w:pPr>
        <w:ind w:left="4366" w:hanging="432"/>
      </w:pPr>
      <w:rPr>
        <w:rFonts w:hint="default"/>
      </w:rPr>
    </w:lvl>
    <w:lvl w:ilvl="5" w:tplc="00D402A8">
      <w:numFmt w:val="bullet"/>
      <w:lvlText w:val="•"/>
      <w:lvlJc w:val="left"/>
      <w:pPr>
        <w:ind w:left="5222" w:hanging="432"/>
      </w:pPr>
      <w:rPr>
        <w:rFonts w:hint="default"/>
      </w:rPr>
    </w:lvl>
    <w:lvl w:ilvl="6" w:tplc="51E8B16C">
      <w:numFmt w:val="bullet"/>
      <w:lvlText w:val="•"/>
      <w:lvlJc w:val="left"/>
      <w:pPr>
        <w:ind w:left="6077" w:hanging="432"/>
      </w:pPr>
      <w:rPr>
        <w:rFonts w:hint="default"/>
      </w:rPr>
    </w:lvl>
    <w:lvl w:ilvl="7" w:tplc="0A1648D4">
      <w:numFmt w:val="bullet"/>
      <w:lvlText w:val="•"/>
      <w:lvlJc w:val="left"/>
      <w:pPr>
        <w:ind w:left="6933" w:hanging="432"/>
      </w:pPr>
      <w:rPr>
        <w:rFonts w:hint="default"/>
      </w:rPr>
    </w:lvl>
    <w:lvl w:ilvl="8" w:tplc="63E6C362">
      <w:numFmt w:val="bullet"/>
      <w:lvlText w:val="•"/>
      <w:lvlJc w:val="left"/>
      <w:pPr>
        <w:ind w:left="7788" w:hanging="432"/>
      </w:pPr>
      <w:rPr>
        <w:rFonts w:hint="default"/>
      </w:rPr>
    </w:lvl>
  </w:abstractNum>
  <w:abstractNum w:abstractNumId="25" w15:restartNumberingAfterBreak="0">
    <w:nsid w:val="749C6014"/>
    <w:multiLevelType w:val="hybridMultilevel"/>
    <w:tmpl w:val="EFA0581C"/>
    <w:lvl w:ilvl="0" w:tplc="B42A21B8">
      <w:start w:val="1"/>
      <w:numFmt w:val="decimal"/>
      <w:lvlText w:val="%1."/>
      <w:lvlJc w:val="left"/>
      <w:pPr>
        <w:ind w:left="1001" w:hanging="202"/>
      </w:pPr>
      <w:rPr>
        <w:rFonts w:ascii="Arial" w:eastAsia="Arial" w:hAnsi="Arial" w:cs="Arial" w:hint="default"/>
        <w:b/>
        <w:bCs/>
        <w:spacing w:val="-1"/>
        <w:w w:val="100"/>
        <w:sz w:val="18"/>
        <w:szCs w:val="18"/>
      </w:rPr>
    </w:lvl>
    <w:lvl w:ilvl="1" w:tplc="13FC28F4">
      <w:start w:val="1"/>
      <w:numFmt w:val="lowerRoman"/>
      <w:lvlText w:val="%2."/>
      <w:lvlJc w:val="left"/>
      <w:pPr>
        <w:ind w:left="2240" w:hanging="720"/>
      </w:pPr>
      <w:rPr>
        <w:rFonts w:ascii="Arial" w:eastAsia="Arial" w:hAnsi="Arial" w:cs="Arial" w:hint="default"/>
        <w:w w:val="100"/>
        <w:sz w:val="16"/>
        <w:szCs w:val="16"/>
      </w:rPr>
    </w:lvl>
    <w:lvl w:ilvl="2" w:tplc="63622492">
      <w:numFmt w:val="bullet"/>
      <w:lvlText w:val="•"/>
      <w:lvlJc w:val="left"/>
      <w:pPr>
        <w:ind w:left="3046" w:hanging="720"/>
      </w:pPr>
      <w:rPr>
        <w:rFonts w:hint="default"/>
      </w:rPr>
    </w:lvl>
    <w:lvl w:ilvl="3" w:tplc="7172B684">
      <w:numFmt w:val="bullet"/>
      <w:lvlText w:val="•"/>
      <w:lvlJc w:val="left"/>
      <w:pPr>
        <w:ind w:left="3853" w:hanging="720"/>
      </w:pPr>
      <w:rPr>
        <w:rFonts w:hint="default"/>
      </w:rPr>
    </w:lvl>
    <w:lvl w:ilvl="4" w:tplc="6A06EF74">
      <w:numFmt w:val="bullet"/>
      <w:lvlText w:val="•"/>
      <w:lvlJc w:val="left"/>
      <w:pPr>
        <w:ind w:left="4660" w:hanging="720"/>
      </w:pPr>
      <w:rPr>
        <w:rFonts w:hint="default"/>
      </w:rPr>
    </w:lvl>
    <w:lvl w:ilvl="5" w:tplc="F96E9622">
      <w:numFmt w:val="bullet"/>
      <w:lvlText w:val="•"/>
      <w:lvlJc w:val="left"/>
      <w:pPr>
        <w:ind w:left="5466" w:hanging="720"/>
      </w:pPr>
      <w:rPr>
        <w:rFonts w:hint="default"/>
      </w:rPr>
    </w:lvl>
    <w:lvl w:ilvl="6" w:tplc="2C5400B2">
      <w:numFmt w:val="bullet"/>
      <w:lvlText w:val="•"/>
      <w:lvlJc w:val="left"/>
      <w:pPr>
        <w:ind w:left="6273" w:hanging="720"/>
      </w:pPr>
      <w:rPr>
        <w:rFonts w:hint="default"/>
      </w:rPr>
    </w:lvl>
    <w:lvl w:ilvl="7" w:tplc="F118A650">
      <w:numFmt w:val="bullet"/>
      <w:lvlText w:val="•"/>
      <w:lvlJc w:val="left"/>
      <w:pPr>
        <w:ind w:left="7080" w:hanging="720"/>
      </w:pPr>
      <w:rPr>
        <w:rFonts w:hint="default"/>
      </w:rPr>
    </w:lvl>
    <w:lvl w:ilvl="8" w:tplc="F14A45E0">
      <w:numFmt w:val="bullet"/>
      <w:lvlText w:val="•"/>
      <w:lvlJc w:val="left"/>
      <w:pPr>
        <w:ind w:left="7886" w:hanging="720"/>
      </w:pPr>
      <w:rPr>
        <w:rFonts w:hint="default"/>
      </w:rPr>
    </w:lvl>
  </w:abstractNum>
  <w:abstractNum w:abstractNumId="26" w15:restartNumberingAfterBreak="0">
    <w:nsid w:val="7D893A65"/>
    <w:multiLevelType w:val="hybridMultilevel"/>
    <w:tmpl w:val="03FE7EC4"/>
    <w:lvl w:ilvl="0" w:tplc="A2CCD9DE">
      <w:numFmt w:val="bullet"/>
      <w:lvlText w:val=""/>
      <w:lvlJc w:val="left"/>
      <w:pPr>
        <w:ind w:left="1232" w:hanging="284"/>
      </w:pPr>
      <w:rPr>
        <w:rFonts w:ascii="Symbol" w:eastAsia="Symbol" w:hAnsi="Symbol" w:cs="Symbol" w:hint="default"/>
        <w:w w:val="100"/>
        <w:sz w:val="18"/>
        <w:szCs w:val="18"/>
      </w:rPr>
    </w:lvl>
    <w:lvl w:ilvl="1" w:tplc="CBD64694">
      <w:numFmt w:val="bullet"/>
      <w:lvlText w:val="•"/>
      <w:lvlJc w:val="left"/>
      <w:pPr>
        <w:ind w:left="2088" w:hanging="284"/>
      </w:pPr>
      <w:rPr>
        <w:rFonts w:hint="default"/>
      </w:rPr>
    </w:lvl>
    <w:lvl w:ilvl="2" w:tplc="10DA0004">
      <w:numFmt w:val="bullet"/>
      <w:lvlText w:val="•"/>
      <w:lvlJc w:val="left"/>
      <w:pPr>
        <w:ind w:left="2936" w:hanging="284"/>
      </w:pPr>
      <w:rPr>
        <w:rFonts w:hint="default"/>
      </w:rPr>
    </w:lvl>
    <w:lvl w:ilvl="3" w:tplc="1BB69988">
      <w:numFmt w:val="bullet"/>
      <w:lvlText w:val="•"/>
      <w:lvlJc w:val="left"/>
      <w:pPr>
        <w:ind w:left="3784" w:hanging="284"/>
      </w:pPr>
      <w:rPr>
        <w:rFonts w:hint="default"/>
      </w:rPr>
    </w:lvl>
    <w:lvl w:ilvl="4" w:tplc="64080CDA">
      <w:numFmt w:val="bullet"/>
      <w:lvlText w:val="•"/>
      <w:lvlJc w:val="left"/>
      <w:pPr>
        <w:ind w:left="4632" w:hanging="284"/>
      </w:pPr>
      <w:rPr>
        <w:rFonts w:hint="default"/>
      </w:rPr>
    </w:lvl>
    <w:lvl w:ilvl="5" w:tplc="4EFEBC68">
      <w:numFmt w:val="bullet"/>
      <w:lvlText w:val="•"/>
      <w:lvlJc w:val="left"/>
      <w:pPr>
        <w:ind w:left="5481" w:hanging="284"/>
      </w:pPr>
      <w:rPr>
        <w:rFonts w:hint="default"/>
      </w:rPr>
    </w:lvl>
    <w:lvl w:ilvl="6" w:tplc="8BF0FC8C">
      <w:numFmt w:val="bullet"/>
      <w:lvlText w:val="•"/>
      <w:lvlJc w:val="left"/>
      <w:pPr>
        <w:ind w:left="6329" w:hanging="284"/>
      </w:pPr>
      <w:rPr>
        <w:rFonts w:hint="default"/>
      </w:rPr>
    </w:lvl>
    <w:lvl w:ilvl="7" w:tplc="4E7C4C70">
      <w:numFmt w:val="bullet"/>
      <w:lvlText w:val="•"/>
      <w:lvlJc w:val="left"/>
      <w:pPr>
        <w:ind w:left="7177" w:hanging="284"/>
      </w:pPr>
      <w:rPr>
        <w:rFonts w:hint="default"/>
      </w:rPr>
    </w:lvl>
    <w:lvl w:ilvl="8" w:tplc="E962DF72">
      <w:numFmt w:val="bullet"/>
      <w:lvlText w:val="•"/>
      <w:lvlJc w:val="left"/>
      <w:pPr>
        <w:ind w:left="8025" w:hanging="284"/>
      </w:pPr>
      <w:rPr>
        <w:rFonts w:hint="default"/>
      </w:rPr>
    </w:lvl>
  </w:abstractNum>
  <w:num w:numId="1" w16cid:durableId="616105581">
    <w:abstractNumId w:val="15"/>
  </w:num>
  <w:num w:numId="2" w16cid:durableId="1262447898">
    <w:abstractNumId w:val="2"/>
  </w:num>
  <w:num w:numId="3" w16cid:durableId="1252738652">
    <w:abstractNumId w:val="21"/>
  </w:num>
  <w:num w:numId="4" w16cid:durableId="1752041388">
    <w:abstractNumId w:val="5"/>
  </w:num>
  <w:num w:numId="5" w16cid:durableId="1141271937">
    <w:abstractNumId w:val="7"/>
  </w:num>
  <w:num w:numId="6" w16cid:durableId="2068994475">
    <w:abstractNumId w:val="1"/>
  </w:num>
  <w:num w:numId="7" w16cid:durableId="1625817166">
    <w:abstractNumId w:val="26"/>
  </w:num>
  <w:num w:numId="8" w16cid:durableId="2063408042">
    <w:abstractNumId w:val="24"/>
  </w:num>
  <w:num w:numId="9" w16cid:durableId="93211440">
    <w:abstractNumId w:val="18"/>
  </w:num>
  <w:num w:numId="10" w16cid:durableId="1510750687">
    <w:abstractNumId w:val="16"/>
  </w:num>
  <w:num w:numId="11" w16cid:durableId="298806787">
    <w:abstractNumId w:val="9"/>
  </w:num>
  <w:num w:numId="12" w16cid:durableId="1427268946">
    <w:abstractNumId w:val="6"/>
  </w:num>
  <w:num w:numId="13" w16cid:durableId="1931619138">
    <w:abstractNumId w:val="11"/>
  </w:num>
  <w:num w:numId="14" w16cid:durableId="1961835528">
    <w:abstractNumId w:val="23"/>
  </w:num>
  <w:num w:numId="15" w16cid:durableId="86853288">
    <w:abstractNumId w:val="25"/>
  </w:num>
  <w:num w:numId="16" w16cid:durableId="308291188">
    <w:abstractNumId w:val="19"/>
  </w:num>
  <w:num w:numId="17" w16cid:durableId="1912933439">
    <w:abstractNumId w:val="3"/>
  </w:num>
  <w:num w:numId="18" w16cid:durableId="1484197059">
    <w:abstractNumId w:val="4"/>
  </w:num>
  <w:num w:numId="19" w16cid:durableId="139467432">
    <w:abstractNumId w:val="13"/>
  </w:num>
  <w:num w:numId="20" w16cid:durableId="152914056">
    <w:abstractNumId w:val="17"/>
  </w:num>
  <w:num w:numId="21" w16cid:durableId="424348430">
    <w:abstractNumId w:val="0"/>
  </w:num>
  <w:num w:numId="22" w16cid:durableId="987437187">
    <w:abstractNumId w:val="10"/>
  </w:num>
  <w:num w:numId="23" w16cid:durableId="1057171841">
    <w:abstractNumId w:val="8"/>
  </w:num>
  <w:num w:numId="24" w16cid:durableId="919026851">
    <w:abstractNumId w:val="22"/>
  </w:num>
  <w:num w:numId="25" w16cid:durableId="1741637727">
    <w:abstractNumId w:val="14"/>
  </w:num>
  <w:num w:numId="26" w16cid:durableId="1733652246">
    <w:abstractNumId w:val="12"/>
  </w:num>
  <w:num w:numId="27" w16cid:durableId="6697180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0F"/>
    <w:rsid w:val="00001729"/>
    <w:rsid w:val="00002686"/>
    <w:rsid w:val="00002833"/>
    <w:rsid w:val="00002BE5"/>
    <w:rsid w:val="00003B51"/>
    <w:rsid w:val="000045E5"/>
    <w:rsid w:val="00004E99"/>
    <w:rsid w:val="00005120"/>
    <w:rsid w:val="0000530D"/>
    <w:rsid w:val="0000672C"/>
    <w:rsid w:val="000110DD"/>
    <w:rsid w:val="00012463"/>
    <w:rsid w:val="000147E0"/>
    <w:rsid w:val="00014A8C"/>
    <w:rsid w:val="0001619A"/>
    <w:rsid w:val="00017809"/>
    <w:rsid w:val="000178A5"/>
    <w:rsid w:val="00020361"/>
    <w:rsid w:val="00020394"/>
    <w:rsid w:val="0002116B"/>
    <w:rsid w:val="000214A6"/>
    <w:rsid w:val="00021824"/>
    <w:rsid w:val="00022ED8"/>
    <w:rsid w:val="00023869"/>
    <w:rsid w:val="00023DB3"/>
    <w:rsid w:val="00023E34"/>
    <w:rsid w:val="000242C4"/>
    <w:rsid w:val="0002498D"/>
    <w:rsid w:val="00025818"/>
    <w:rsid w:val="000275FB"/>
    <w:rsid w:val="00027A3D"/>
    <w:rsid w:val="00030010"/>
    <w:rsid w:val="00030D69"/>
    <w:rsid w:val="00030E32"/>
    <w:rsid w:val="000315A2"/>
    <w:rsid w:val="000332BE"/>
    <w:rsid w:val="00033348"/>
    <w:rsid w:val="00033D76"/>
    <w:rsid w:val="000343B7"/>
    <w:rsid w:val="00034FD0"/>
    <w:rsid w:val="000351BC"/>
    <w:rsid w:val="0003548F"/>
    <w:rsid w:val="00035B07"/>
    <w:rsid w:val="00035B0F"/>
    <w:rsid w:val="00035E48"/>
    <w:rsid w:val="00036B87"/>
    <w:rsid w:val="000412B0"/>
    <w:rsid w:val="00042FD2"/>
    <w:rsid w:val="0004441A"/>
    <w:rsid w:val="0004443E"/>
    <w:rsid w:val="0004606E"/>
    <w:rsid w:val="0004680D"/>
    <w:rsid w:val="00046C95"/>
    <w:rsid w:val="000514CE"/>
    <w:rsid w:val="00051D6D"/>
    <w:rsid w:val="00051E37"/>
    <w:rsid w:val="00054BA8"/>
    <w:rsid w:val="000550E9"/>
    <w:rsid w:val="00055222"/>
    <w:rsid w:val="0005568B"/>
    <w:rsid w:val="000559C5"/>
    <w:rsid w:val="000559C7"/>
    <w:rsid w:val="000562AF"/>
    <w:rsid w:val="00056741"/>
    <w:rsid w:val="000569BC"/>
    <w:rsid w:val="00056FF2"/>
    <w:rsid w:val="00060BB3"/>
    <w:rsid w:val="000610BA"/>
    <w:rsid w:val="000613D4"/>
    <w:rsid w:val="00062D28"/>
    <w:rsid w:val="00063046"/>
    <w:rsid w:val="00064129"/>
    <w:rsid w:val="00067121"/>
    <w:rsid w:val="00067550"/>
    <w:rsid w:val="000705D4"/>
    <w:rsid w:val="00070D21"/>
    <w:rsid w:val="00071351"/>
    <w:rsid w:val="00071B20"/>
    <w:rsid w:val="00072BBC"/>
    <w:rsid w:val="00072DA8"/>
    <w:rsid w:val="000749A0"/>
    <w:rsid w:val="00075F8B"/>
    <w:rsid w:val="000765F6"/>
    <w:rsid w:val="000772AA"/>
    <w:rsid w:val="00080E51"/>
    <w:rsid w:val="000836D1"/>
    <w:rsid w:val="00083BA7"/>
    <w:rsid w:val="00083BCB"/>
    <w:rsid w:val="00084AB5"/>
    <w:rsid w:val="000858A5"/>
    <w:rsid w:val="00085A72"/>
    <w:rsid w:val="000867B9"/>
    <w:rsid w:val="00086A6C"/>
    <w:rsid w:val="00087873"/>
    <w:rsid w:val="00093419"/>
    <w:rsid w:val="00095712"/>
    <w:rsid w:val="00096FE1"/>
    <w:rsid w:val="000970DE"/>
    <w:rsid w:val="00097528"/>
    <w:rsid w:val="000978EC"/>
    <w:rsid w:val="000A1D2E"/>
    <w:rsid w:val="000A4231"/>
    <w:rsid w:val="000A4896"/>
    <w:rsid w:val="000A51DB"/>
    <w:rsid w:val="000A5765"/>
    <w:rsid w:val="000A5C45"/>
    <w:rsid w:val="000A6ADD"/>
    <w:rsid w:val="000B1AD1"/>
    <w:rsid w:val="000B20DF"/>
    <w:rsid w:val="000B21B1"/>
    <w:rsid w:val="000B2866"/>
    <w:rsid w:val="000B29C4"/>
    <w:rsid w:val="000B3E84"/>
    <w:rsid w:val="000B5266"/>
    <w:rsid w:val="000B540F"/>
    <w:rsid w:val="000B6CE9"/>
    <w:rsid w:val="000C02DC"/>
    <w:rsid w:val="000C0B86"/>
    <w:rsid w:val="000C1675"/>
    <w:rsid w:val="000C263D"/>
    <w:rsid w:val="000C2BB5"/>
    <w:rsid w:val="000C312F"/>
    <w:rsid w:val="000C55A5"/>
    <w:rsid w:val="000C5D81"/>
    <w:rsid w:val="000C6E1A"/>
    <w:rsid w:val="000C7583"/>
    <w:rsid w:val="000C7BA1"/>
    <w:rsid w:val="000D037D"/>
    <w:rsid w:val="000D056B"/>
    <w:rsid w:val="000D250C"/>
    <w:rsid w:val="000D580C"/>
    <w:rsid w:val="000D610D"/>
    <w:rsid w:val="000D725A"/>
    <w:rsid w:val="000E0BCB"/>
    <w:rsid w:val="000E1BE9"/>
    <w:rsid w:val="000E3BBF"/>
    <w:rsid w:val="000E5C4C"/>
    <w:rsid w:val="000E620F"/>
    <w:rsid w:val="000E77A0"/>
    <w:rsid w:val="000F018A"/>
    <w:rsid w:val="000F0805"/>
    <w:rsid w:val="000F08EF"/>
    <w:rsid w:val="000F1436"/>
    <w:rsid w:val="000F431E"/>
    <w:rsid w:val="000F5BE1"/>
    <w:rsid w:val="000F60EA"/>
    <w:rsid w:val="00100BB9"/>
    <w:rsid w:val="001015DB"/>
    <w:rsid w:val="001028A5"/>
    <w:rsid w:val="00102FAA"/>
    <w:rsid w:val="0010327A"/>
    <w:rsid w:val="001047EB"/>
    <w:rsid w:val="00105AEF"/>
    <w:rsid w:val="001061E0"/>
    <w:rsid w:val="0010659E"/>
    <w:rsid w:val="00106B08"/>
    <w:rsid w:val="0010736C"/>
    <w:rsid w:val="001074AD"/>
    <w:rsid w:val="0010797C"/>
    <w:rsid w:val="0011030B"/>
    <w:rsid w:val="00111A47"/>
    <w:rsid w:val="00114DE5"/>
    <w:rsid w:val="00116DE9"/>
    <w:rsid w:val="00117FD7"/>
    <w:rsid w:val="00121BFB"/>
    <w:rsid w:val="00123610"/>
    <w:rsid w:val="00126685"/>
    <w:rsid w:val="001309B4"/>
    <w:rsid w:val="00132616"/>
    <w:rsid w:val="00132E46"/>
    <w:rsid w:val="0013543D"/>
    <w:rsid w:val="001359EF"/>
    <w:rsid w:val="001404EC"/>
    <w:rsid w:val="00140B20"/>
    <w:rsid w:val="00141CDB"/>
    <w:rsid w:val="00142D48"/>
    <w:rsid w:val="00143717"/>
    <w:rsid w:val="00143876"/>
    <w:rsid w:val="00143FB7"/>
    <w:rsid w:val="001452A0"/>
    <w:rsid w:val="00146190"/>
    <w:rsid w:val="00150464"/>
    <w:rsid w:val="00150D19"/>
    <w:rsid w:val="00151009"/>
    <w:rsid w:val="001546AB"/>
    <w:rsid w:val="001559A9"/>
    <w:rsid w:val="00155B72"/>
    <w:rsid w:val="00155FC2"/>
    <w:rsid w:val="00156B1B"/>
    <w:rsid w:val="00157659"/>
    <w:rsid w:val="0015798D"/>
    <w:rsid w:val="001579EB"/>
    <w:rsid w:val="00160D87"/>
    <w:rsid w:val="0016100C"/>
    <w:rsid w:val="001635E9"/>
    <w:rsid w:val="001655F5"/>
    <w:rsid w:val="00165BE8"/>
    <w:rsid w:val="001668F0"/>
    <w:rsid w:val="00167692"/>
    <w:rsid w:val="00167F80"/>
    <w:rsid w:val="001701BB"/>
    <w:rsid w:val="00173458"/>
    <w:rsid w:val="00173491"/>
    <w:rsid w:val="001745AE"/>
    <w:rsid w:val="00177F49"/>
    <w:rsid w:val="0018063F"/>
    <w:rsid w:val="00180AAA"/>
    <w:rsid w:val="001816A9"/>
    <w:rsid w:val="001819A4"/>
    <w:rsid w:val="00184044"/>
    <w:rsid w:val="0018650B"/>
    <w:rsid w:val="00186635"/>
    <w:rsid w:val="00186912"/>
    <w:rsid w:val="00190925"/>
    <w:rsid w:val="00190989"/>
    <w:rsid w:val="001915FA"/>
    <w:rsid w:val="0019219A"/>
    <w:rsid w:val="001927A1"/>
    <w:rsid w:val="0019353A"/>
    <w:rsid w:val="001942E0"/>
    <w:rsid w:val="00195047"/>
    <w:rsid w:val="001950CF"/>
    <w:rsid w:val="00196C4C"/>
    <w:rsid w:val="001A13EB"/>
    <w:rsid w:val="001A1BBD"/>
    <w:rsid w:val="001A1D15"/>
    <w:rsid w:val="001A3F95"/>
    <w:rsid w:val="001A42CA"/>
    <w:rsid w:val="001A46AD"/>
    <w:rsid w:val="001A476D"/>
    <w:rsid w:val="001A4AD4"/>
    <w:rsid w:val="001A4DC3"/>
    <w:rsid w:val="001A5167"/>
    <w:rsid w:val="001A5D22"/>
    <w:rsid w:val="001A766C"/>
    <w:rsid w:val="001B066E"/>
    <w:rsid w:val="001B0EEC"/>
    <w:rsid w:val="001B0F36"/>
    <w:rsid w:val="001B14C4"/>
    <w:rsid w:val="001B2EEB"/>
    <w:rsid w:val="001B3550"/>
    <w:rsid w:val="001B3EC4"/>
    <w:rsid w:val="001B3EC9"/>
    <w:rsid w:val="001B40F0"/>
    <w:rsid w:val="001B530C"/>
    <w:rsid w:val="001B5AA8"/>
    <w:rsid w:val="001B63BB"/>
    <w:rsid w:val="001B7752"/>
    <w:rsid w:val="001B7CDF"/>
    <w:rsid w:val="001C0458"/>
    <w:rsid w:val="001C22DB"/>
    <w:rsid w:val="001C2F4C"/>
    <w:rsid w:val="001C3382"/>
    <w:rsid w:val="001C51AC"/>
    <w:rsid w:val="001C56D5"/>
    <w:rsid w:val="001C5B7B"/>
    <w:rsid w:val="001C6ED7"/>
    <w:rsid w:val="001C7EEF"/>
    <w:rsid w:val="001D0066"/>
    <w:rsid w:val="001D03BB"/>
    <w:rsid w:val="001D067F"/>
    <w:rsid w:val="001D0874"/>
    <w:rsid w:val="001D1E4D"/>
    <w:rsid w:val="001D1EEC"/>
    <w:rsid w:val="001D2115"/>
    <w:rsid w:val="001D3311"/>
    <w:rsid w:val="001D491A"/>
    <w:rsid w:val="001D4C2C"/>
    <w:rsid w:val="001D5312"/>
    <w:rsid w:val="001D57DC"/>
    <w:rsid w:val="001D5D85"/>
    <w:rsid w:val="001D5F64"/>
    <w:rsid w:val="001D6C96"/>
    <w:rsid w:val="001D7370"/>
    <w:rsid w:val="001E0283"/>
    <w:rsid w:val="001E18C7"/>
    <w:rsid w:val="001E317F"/>
    <w:rsid w:val="001E3EEA"/>
    <w:rsid w:val="001E43F2"/>
    <w:rsid w:val="001E4A2A"/>
    <w:rsid w:val="001E4EFB"/>
    <w:rsid w:val="001E5160"/>
    <w:rsid w:val="001E5188"/>
    <w:rsid w:val="001E643F"/>
    <w:rsid w:val="001E7301"/>
    <w:rsid w:val="001E75F6"/>
    <w:rsid w:val="001F1E3D"/>
    <w:rsid w:val="001F44FC"/>
    <w:rsid w:val="001F4AC7"/>
    <w:rsid w:val="001F5275"/>
    <w:rsid w:val="001F6C93"/>
    <w:rsid w:val="001F7E4B"/>
    <w:rsid w:val="00200DAF"/>
    <w:rsid w:val="00201672"/>
    <w:rsid w:val="00201A97"/>
    <w:rsid w:val="0020250E"/>
    <w:rsid w:val="00203310"/>
    <w:rsid w:val="00203360"/>
    <w:rsid w:val="00204BEE"/>
    <w:rsid w:val="0020622C"/>
    <w:rsid w:val="00206942"/>
    <w:rsid w:val="002117A7"/>
    <w:rsid w:val="0021197A"/>
    <w:rsid w:val="002127D6"/>
    <w:rsid w:val="00213503"/>
    <w:rsid w:val="002135D8"/>
    <w:rsid w:val="002147DA"/>
    <w:rsid w:val="002153F5"/>
    <w:rsid w:val="00220828"/>
    <w:rsid w:val="002212B4"/>
    <w:rsid w:val="00221325"/>
    <w:rsid w:val="002216F8"/>
    <w:rsid w:val="002234CD"/>
    <w:rsid w:val="00223DB9"/>
    <w:rsid w:val="0022460F"/>
    <w:rsid w:val="002252AC"/>
    <w:rsid w:val="00225AEB"/>
    <w:rsid w:val="00226217"/>
    <w:rsid w:val="002275CD"/>
    <w:rsid w:val="00231B85"/>
    <w:rsid w:val="00231BD9"/>
    <w:rsid w:val="002325BB"/>
    <w:rsid w:val="00233BB0"/>
    <w:rsid w:val="002345FD"/>
    <w:rsid w:val="00234CCA"/>
    <w:rsid w:val="00235164"/>
    <w:rsid w:val="00236086"/>
    <w:rsid w:val="0023634A"/>
    <w:rsid w:val="002369BB"/>
    <w:rsid w:val="00236A9C"/>
    <w:rsid w:val="00236B22"/>
    <w:rsid w:val="00237B6F"/>
    <w:rsid w:val="00242904"/>
    <w:rsid w:val="00242926"/>
    <w:rsid w:val="0024365C"/>
    <w:rsid w:val="00245138"/>
    <w:rsid w:val="002451AA"/>
    <w:rsid w:val="00246A99"/>
    <w:rsid w:val="002474B8"/>
    <w:rsid w:val="002474F3"/>
    <w:rsid w:val="00247D13"/>
    <w:rsid w:val="00254D5C"/>
    <w:rsid w:val="00254EAA"/>
    <w:rsid w:val="00255FAF"/>
    <w:rsid w:val="00256160"/>
    <w:rsid w:val="00256CCC"/>
    <w:rsid w:val="00257B08"/>
    <w:rsid w:val="002602B2"/>
    <w:rsid w:val="00260B4C"/>
    <w:rsid w:val="00260CAA"/>
    <w:rsid w:val="0026143C"/>
    <w:rsid w:val="002629E5"/>
    <w:rsid w:val="002641DB"/>
    <w:rsid w:val="002643FE"/>
    <w:rsid w:val="00264C68"/>
    <w:rsid w:val="0026527E"/>
    <w:rsid w:val="002657F7"/>
    <w:rsid w:val="00265DF9"/>
    <w:rsid w:val="002662E6"/>
    <w:rsid w:val="00266A1E"/>
    <w:rsid w:val="00267238"/>
    <w:rsid w:val="002701F6"/>
    <w:rsid w:val="0027185C"/>
    <w:rsid w:val="002731A5"/>
    <w:rsid w:val="0027326F"/>
    <w:rsid w:val="00274949"/>
    <w:rsid w:val="0027763D"/>
    <w:rsid w:val="00282187"/>
    <w:rsid w:val="00282C64"/>
    <w:rsid w:val="00282CC5"/>
    <w:rsid w:val="00284064"/>
    <w:rsid w:val="0028410F"/>
    <w:rsid w:val="002843C6"/>
    <w:rsid w:val="00284D8B"/>
    <w:rsid w:val="00284FD9"/>
    <w:rsid w:val="00290373"/>
    <w:rsid w:val="00291BE7"/>
    <w:rsid w:val="00292668"/>
    <w:rsid w:val="00294BBF"/>
    <w:rsid w:val="00294DFF"/>
    <w:rsid w:val="00294ED7"/>
    <w:rsid w:val="00296C9B"/>
    <w:rsid w:val="002978A1"/>
    <w:rsid w:val="002A023E"/>
    <w:rsid w:val="002A09A5"/>
    <w:rsid w:val="002A0F36"/>
    <w:rsid w:val="002A2811"/>
    <w:rsid w:val="002A2D7F"/>
    <w:rsid w:val="002A3262"/>
    <w:rsid w:val="002A3547"/>
    <w:rsid w:val="002A3A03"/>
    <w:rsid w:val="002A431A"/>
    <w:rsid w:val="002A5926"/>
    <w:rsid w:val="002A5CF3"/>
    <w:rsid w:val="002A5F99"/>
    <w:rsid w:val="002A66D3"/>
    <w:rsid w:val="002A7614"/>
    <w:rsid w:val="002B06D0"/>
    <w:rsid w:val="002B0748"/>
    <w:rsid w:val="002B2811"/>
    <w:rsid w:val="002B29BE"/>
    <w:rsid w:val="002B354F"/>
    <w:rsid w:val="002B362E"/>
    <w:rsid w:val="002B3772"/>
    <w:rsid w:val="002B5490"/>
    <w:rsid w:val="002B5A58"/>
    <w:rsid w:val="002B5F4A"/>
    <w:rsid w:val="002B690A"/>
    <w:rsid w:val="002B7C06"/>
    <w:rsid w:val="002C0915"/>
    <w:rsid w:val="002C14F1"/>
    <w:rsid w:val="002C2FDA"/>
    <w:rsid w:val="002C4006"/>
    <w:rsid w:val="002C4180"/>
    <w:rsid w:val="002D1626"/>
    <w:rsid w:val="002D1CB1"/>
    <w:rsid w:val="002D20D4"/>
    <w:rsid w:val="002D21AF"/>
    <w:rsid w:val="002D27ED"/>
    <w:rsid w:val="002D3FA3"/>
    <w:rsid w:val="002D4E61"/>
    <w:rsid w:val="002D5422"/>
    <w:rsid w:val="002D57DD"/>
    <w:rsid w:val="002E2181"/>
    <w:rsid w:val="002E2188"/>
    <w:rsid w:val="002E304E"/>
    <w:rsid w:val="002E31CA"/>
    <w:rsid w:val="002E4BCC"/>
    <w:rsid w:val="002E5CD5"/>
    <w:rsid w:val="002E5D7C"/>
    <w:rsid w:val="002E65FB"/>
    <w:rsid w:val="002E6DDE"/>
    <w:rsid w:val="002E7BC4"/>
    <w:rsid w:val="002F225E"/>
    <w:rsid w:val="002F247F"/>
    <w:rsid w:val="002F2A6C"/>
    <w:rsid w:val="002F40DA"/>
    <w:rsid w:val="002F5652"/>
    <w:rsid w:val="003004DE"/>
    <w:rsid w:val="003005D0"/>
    <w:rsid w:val="00301447"/>
    <w:rsid w:val="003018AF"/>
    <w:rsid w:val="00302937"/>
    <w:rsid w:val="00304CA3"/>
    <w:rsid w:val="003123D3"/>
    <w:rsid w:val="00312632"/>
    <w:rsid w:val="00312FD2"/>
    <w:rsid w:val="003148DF"/>
    <w:rsid w:val="003175C6"/>
    <w:rsid w:val="00320959"/>
    <w:rsid w:val="00320E3D"/>
    <w:rsid w:val="0032126E"/>
    <w:rsid w:val="003219DE"/>
    <w:rsid w:val="00321DCB"/>
    <w:rsid w:val="0032273A"/>
    <w:rsid w:val="0032635F"/>
    <w:rsid w:val="0032647F"/>
    <w:rsid w:val="003304B4"/>
    <w:rsid w:val="00333C27"/>
    <w:rsid w:val="00333CFD"/>
    <w:rsid w:val="0033410B"/>
    <w:rsid w:val="003345DD"/>
    <w:rsid w:val="003356FA"/>
    <w:rsid w:val="00336C21"/>
    <w:rsid w:val="0033725E"/>
    <w:rsid w:val="00337299"/>
    <w:rsid w:val="003423BB"/>
    <w:rsid w:val="00342F1E"/>
    <w:rsid w:val="00343EAB"/>
    <w:rsid w:val="003447F0"/>
    <w:rsid w:val="00345A87"/>
    <w:rsid w:val="00345EFA"/>
    <w:rsid w:val="003468F1"/>
    <w:rsid w:val="00347A6A"/>
    <w:rsid w:val="00350DAC"/>
    <w:rsid w:val="00350E6E"/>
    <w:rsid w:val="00351052"/>
    <w:rsid w:val="003520BD"/>
    <w:rsid w:val="00352760"/>
    <w:rsid w:val="00353A92"/>
    <w:rsid w:val="0035402F"/>
    <w:rsid w:val="00356230"/>
    <w:rsid w:val="00356F66"/>
    <w:rsid w:val="0036184E"/>
    <w:rsid w:val="00364A87"/>
    <w:rsid w:val="00364AFA"/>
    <w:rsid w:val="00365AB1"/>
    <w:rsid w:val="00366298"/>
    <w:rsid w:val="00366552"/>
    <w:rsid w:val="00371894"/>
    <w:rsid w:val="00373F4A"/>
    <w:rsid w:val="003761F4"/>
    <w:rsid w:val="003761FA"/>
    <w:rsid w:val="00377DDC"/>
    <w:rsid w:val="003800DF"/>
    <w:rsid w:val="00380132"/>
    <w:rsid w:val="00380984"/>
    <w:rsid w:val="00382BF1"/>
    <w:rsid w:val="00383CDC"/>
    <w:rsid w:val="0038492F"/>
    <w:rsid w:val="003851B9"/>
    <w:rsid w:val="003852E3"/>
    <w:rsid w:val="0038737A"/>
    <w:rsid w:val="0039155E"/>
    <w:rsid w:val="00391ABD"/>
    <w:rsid w:val="00391C92"/>
    <w:rsid w:val="00394EFF"/>
    <w:rsid w:val="003953EF"/>
    <w:rsid w:val="00395861"/>
    <w:rsid w:val="00396692"/>
    <w:rsid w:val="00396791"/>
    <w:rsid w:val="00396B63"/>
    <w:rsid w:val="003A1E02"/>
    <w:rsid w:val="003A2D69"/>
    <w:rsid w:val="003A312D"/>
    <w:rsid w:val="003A3D3E"/>
    <w:rsid w:val="003A47D8"/>
    <w:rsid w:val="003A6628"/>
    <w:rsid w:val="003A6F59"/>
    <w:rsid w:val="003A70C3"/>
    <w:rsid w:val="003A7D1D"/>
    <w:rsid w:val="003B2205"/>
    <w:rsid w:val="003B2CC3"/>
    <w:rsid w:val="003B36C9"/>
    <w:rsid w:val="003B3708"/>
    <w:rsid w:val="003B4ADC"/>
    <w:rsid w:val="003B4D42"/>
    <w:rsid w:val="003B5C9E"/>
    <w:rsid w:val="003B75AC"/>
    <w:rsid w:val="003B7A49"/>
    <w:rsid w:val="003C0B9F"/>
    <w:rsid w:val="003C16A0"/>
    <w:rsid w:val="003C21B6"/>
    <w:rsid w:val="003C2AE2"/>
    <w:rsid w:val="003C2D6F"/>
    <w:rsid w:val="003C3445"/>
    <w:rsid w:val="003C52C7"/>
    <w:rsid w:val="003C6386"/>
    <w:rsid w:val="003C7796"/>
    <w:rsid w:val="003C77B4"/>
    <w:rsid w:val="003C7BA8"/>
    <w:rsid w:val="003C7BFE"/>
    <w:rsid w:val="003D0C5A"/>
    <w:rsid w:val="003D0FA8"/>
    <w:rsid w:val="003D248C"/>
    <w:rsid w:val="003D2B12"/>
    <w:rsid w:val="003D3140"/>
    <w:rsid w:val="003D3258"/>
    <w:rsid w:val="003D41CB"/>
    <w:rsid w:val="003D566F"/>
    <w:rsid w:val="003D5992"/>
    <w:rsid w:val="003D60FB"/>
    <w:rsid w:val="003D691B"/>
    <w:rsid w:val="003D6CAB"/>
    <w:rsid w:val="003D6DBD"/>
    <w:rsid w:val="003E2F5A"/>
    <w:rsid w:val="003E3469"/>
    <w:rsid w:val="003E3CEE"/>
    <w:rsid w:val="003E59D6"/>
    <w:rsid w:val="003E60F5"/>
    <w:rsid w:val="003E760D"/>
    <w:rsid w:val="003F0F8D"/>
    <w:rsid w:val="003F1B98"/>
    <w:rsid w:val="003F1CB9"/>
    <w:rsid w:val="003F1D9D"/>
    <w:rsid w:val="003F2147"/>
    <w:rsid w:val="003F2D41"/>
    <w:rsid w:val="003F39FF"/>
    <w:rsid w:val="003F4355"/>
    <w:rsid w:val="003F47BC"/>
    <w:rsid w:val="003F48A5"/>
    <w:rsid w:val="003F4C29"/>
    <w:rsid w:val="003F70A1"/>
    <w:rsid w:val="004008E8"/>
    <w:rsid w:val="0040137D"/>
    <w:rsid w:val="004016DF"/>
    <w:rsid w:val="00401C71"/>
    <w:rsid w:val="00401F6A"/>
    <w:rsid w:val="0040305E"/>
    <w:rsid w:val="00404394"/>
    <w:rsid w:val="0040520C"/>
    <w:rsid w:val="0040622B"/>
    <w:rsid w:val="004067BE"/>
    <w:rsid w:val="00406BC0"/>
    <w:rsid w:val="0041192A"/>
    <w:rsid w:val="00411D66"/>
    <w:rsid w:val="0041213C"/>
    <w:rsid w:val="00413631"/>
    <w:rsid w:val="0041406A"/>
    <w:rsid w:val="00414CF0"/>
    <w:rsid w:val="00415368"/>
    <w:rsid w:val="0041597A"/>
    <w:rsid w:val="0041754C"/>
    <w:rsid w:val="00417676"/>
    <w:rsid w:val="004204B1"/>
    <w:rsid w:val="00421349"/>
    <w:rsid w:val="0042286A"/>
    <w:rsid w:val="00422A94"/>
    <w:rsid w:val="00424998"/>
    <w:rsid w:val="004249B4"/>
    <w:rsid w:val="00424BED"/>
    <w:rsid w:val="0042547A"/>
    <w:rsid w:val="00425778"/>
    <w:rsid w:val="00425B0C"/>
    <w:rsid w:val="004267B7"/>
    <w:rsid w:val="00426D13"/>
    <w:rsid w:val="00427861"/>
    <w:rsid w:val="00427DA2"/>
    <w:rsid w:val="00430D78"/>
    <w:rsid w:val="00431002"/>
    <w:rsid w:val="00431097"/>
    <w:rsid w:val="00431C4C"/>
    <w:rsid w:val="00432389"/>
    <w:rsid w:val="0043276F"/>
    <w:rsid w:val="00433E51"/>
    <w:rsid w:val="00435142"/>
    <w:rsid w:val="00435331"/>
    <w:rsid w:val="0043580E"/>
    <w:rsid w:val="00435E53"/>
    <w:rsid w:val="00436854"/>
    <w:rsid w:val="0043719F"/>
    <w:rsid w:val="004421F3"/>
    <w:rsid w:val="00443432"/>
    <w:rsid w:val="004437DC"/>
    <w:rsid w:val="004449EB"/>
    <w:rsid w:val="00446981"/>
    <w:rsid w:val="00450FCB"/>
    <w:rsid w:val="00451010"/>
    <w:rsid w:val="00451734"/>
    <w:rsid w:val="00451BFA"/>
    <w:rsid w:val="00451CD2"/>
    <w:rsid w:val="00452734"/>
    <w:rsid w:val="004544E2"/>
    <w:rsid w:val="00454DAB"/>
    <w:rsid w:val="00454F35"/>
    <w:rsid w:val="004551DA"/>
    <w:rsid w:val="004553BE"/>
    <w:rsid w:val="00455C8B"/>
    <w:rsid w:val="004565BA"/>
    <w:rsid w:val="004624CE"/>
    <w:rsid w:val="0046383C"/>
    <w:rsid w:val="00464A7D"/>
    <w:rsid w:val="00467C0C"/>
    <w:rsid w:val="00470463"/>
    <w:rsid w:val="00470549"/>
    <w:rsid w:val="00472158"/>
    <w:rsid w:val="00473653"/>
    <w:rsid w:val="00474685"/>
    <w:rsid w:val="0047600D"/>
    <w:rsid w:val="004818DD"/>
    <w:rsid w:val="004822A4"/>
    <w:rsid w:val="00483422"/>
    <w:rsid w:val="004859A6"/>
    <w:rsid w:val="00485AE2"/>
    <w:rsid w:val="00486241"/>
    <w:rsid w:val="004862CA"/>
    <w:rsid w:val="004867D3"/>
    <w:rsid w:val="00486F1B"/>
    <w:rsid w:val="00487426"/>
    <w:rsid w:val="0048767F"/>
    <w:rsid w:val="0049085F"/>
    <w:rsid w:val="00490A91"/>
    <w:rsid w:val="00490D76"/>
    <w:rsid w:val="0049101A"/>
    <w:rsid w:val="00491E44"/>
    <w:rsid w:val="00492333"/>
    <w:rsid w:val="004953A0"/>
    <w:rsid w:val="00495A79"/>
    <w:rsid w:val="00495E9C"/>
    <w:rsid w:val="00496A51"/>
    <w:rsid w:val="00497542"/>
    <w:rsid w:val="004979CF"/>
    <w:rsid w:val="004A22BB"/>
    <w:rsid w:val="004A23BB"/>
    <w:rsid w:val="004A25A5"/>
    <w:rsid w:val="004A2CBB"/>
    <w:rsid w:val="004A3098"/>
    <w:rsid w:val="004A3C55"/>
    <w:rsid w:val="004A4AB3"/>
    <w:rsid w:val="004A4B9C"/>
    <w:rsid w:val="004A4CF9"/>
    <w:rsid w:val="004A4E1A"/>
    <w:rsid w:val="004A51B6"/>
    <w:rsid w:val="004A54D2"/>
    <w:rsid w:val="004A6D6D"/>
    <w:rsid w:val="004A7BAF"/>
    <w:rsid w:val="004B0554"/>
    <w:rsid w:val="004B0918"/>
    <w:rsid w:val="004B0930"/>
    <w:rsid w:val="004B0A74"/>
    <w:rsid w:val="004B0BDF"/>
    <w:rsid w:val="004B3E47"/>
    <w:rsid w:val="004B5349"/>
    <w:rsid w:val="004B5856"/>
    <w:rsid w:val="004B6382"/>
    <w:rsid w:val="004B7E72"/>
    <w:rsid w:val="004C0390"/>
    <w:rsid w:val="004C0AF3"/>
    <w:rsid w:val="004C0CD0"/>
    <w:rsid w:val="004C1D2C"/>
    <w:rsid w:val="004C3DA8"/>
    <w:rsid w:val="004C5057"/>
    <w:rsid w:val="004C5188"/>
    <w:rsid w:val="004C5788"/>
    <w:rsid w:val="004C6426"/>
    <w:rsid w:val="004C6C40"/>
    <w:rsid w:val="004D2C57"/>
    <w:rsid w:val="004D3407"/>
    <w:rsid w:val="004D4456"/>
    <w:rsid w:val="004D50AB"/>
    <w:rsid w:val="004D6755"/>
    <w:rsid w:val="004D67FC"/>
    <w:rsid w:val="004D6C59"/>
    <w:rsid w:val="004D7636"/>
    <w:rsid w:val="004D7BC0"/>
    <w:rsid w:val="004E09D8"/>
    <w:rsid w:val="004E0AD5"/>
    <w:rsid w:val="004E1CF5"/>
    <w:rsid w:val="004E32BC"/>
    <w:rsid w:val="004E3892"/>
    <w:rsid w:val="004E3B25"/>
    <w:rsid w:val="004E3D7C"/>
    <w:rsid w:val="004F0F0F"/>
    <w:rsid w:val="004F0F8F"/>
    <w:rsid w:val="004F16C5"/>
    <w:rsid w:val="004F1868"/>
    <w:rsid w:val="004F2353"/>
    <w:rsid w:val="004F420C"/>
    <w:rsid w:val="004F489B"/>
    <w:rsid w:val="004F69AF"/>
    <w:rsid w:val="004F7580"/>
    <w:rsid w:val="004F78B2"/>
    <w:rsid w:val="004F790D"/>
    <w:rsid w:val="004F7ED7"/>
    <w:rsid w:val="0050249A"/>
    <w:rsid w:val="005032D9"/>
    <w:rsid w:val="005036B5"/>
    <w:rsid w:val="00503FAA"/>
    <w:rsid w:val="005062FB"/>
    <w:rsid w:val="0050693C"/>
    <w:rsid w:val="00506F2F"/>
    <w:rsid w:val="005118AC"/>
    <w:rsid w:val="0051231F"/>
    <w:rsid w:val="005130BF"/>
    <w:rsid w:val="00515366"/>
    <w:rsid w:val="005162B9"/>
    <w:rsid w:val="00516C74"/>
    <w:rsid w:val="0052006B"/>
    <w:rsid w:val="00520266"/>
    <w:rsid w:val="00520469"/>
    <w:rsid w:val="00521979"/>
    <w:rsid w:val="00521A49"/>
    <w:rsid w:val="00521E10"/>
    <w:rsid w:val="0052322C"/>
    <w:rsid w:val="0052459A"/>
    <w:rsid w:val="00525B78"/>
    <w:rsid w:val="00527090"/>
    <w:rsid w:val="00527D66"/>
    <w:rsid w:val="0053043F"/>
    <w:rsid w:val="005310AF"/>
    <w:rsid w:val="00531454"/>
    <w:rsid w:val="005316FA"/>
    <w:rsid w:val="00534350"/>
    <w:rsid w:val="005346F1"/>
    <w:rsid w:val="0053563E"/>
    <w:rsid w:val="00537A67"/>
    <w:rsid w:val="005402F7"/>
    <w:rsid w:val="00540F94"/>
    <w:rsid w:val="00543D10"/>
    <w:rsid w:val="00545868"/>
    <w:rsid w:val="00546CA9"/>
    <w:rsid w:val="00551552"/>
    <w:rsid w:val="00551FB7"/>
    <w:rsid w:val="00552EC5"/>
    <w:rsid w:val="00553571"/>
    <w:rsid w:val="00553829"/>
    <w:rsid w:val="00553A60"/>
    <w:rsid w:val="00553EF3"/>
    <w:rsid w:val="00555FC9"/>
    <w:rsid w:val="00556F7E"/>
    <w:rsid w:val="00560C71"/>
    <w:rsid w:val="00560E2F"/>
    <w:rsid w:val="00561FE6"/>
    <w:rsid w:val="00562EB0"/>
    <w:rsid w:val="00564EC1"/>
    <w:rsid w:val="005659CA"/>
    <w:rsid w:val="005660FD"/>
    <w:rsid w:val="00566BF2"/>
    <w:rsid w:val="00567B64"/>
    <w:rsid w:val="005704D2"/>
    <w:rsid w:val="005717F9"/>
    <w:rsid w:val="005718EA"/>
    <w:rsid w:val="00571FA1"/>
    <w:rsid w:val="00573ADF"/>
    <w:rsid w:val="00573F07"/>
    <w:rsid w:val="0057498C"/>
    <w:rsid w:val="00575AB4"/>
    <w:rsid w:val="00575C27"/>
    <w:rsid w:val="00575E64"/>
    <w:rsid w:val="00576CD9"/>
    <w:rsid w:val="00577406"/>
    <w:rsid w:val="00581364"/>
    <w:rsid w:val="005821F7"/>
    <w:rsid w:val="0058301C"/>
    <w:rsid w:val="005833B4"/>
    <w:rsid w:val="00583CB8"/>
    <w:rsid w:val="0058667B"/>
    <w:rsid w:val="00586B14"/>
    <w:rsid w:val="00586D0D"/>
    <w:rsid w:val="00590359"/>
    <w:rsid w:val="00591646"/>
    <w:rsid w:val="005960AC"/>
    <w:rsid w:val="00597FB3"/>
    <w:rsid w:val="005A17D4"/>
    <w:rsid w:val="005A1F6A"/>
    <w:rsid w:val="005A2936"/>
    <w:rsid w:val="005A3EA2"/>
    <w:rsid w:val="005A6147"/>
    <w:rsid w:val="005B13A0"/>
    <w:rsid w:val="005B24F3"/>
    <w:rsid w:val="005B348B"/>
    <w:rsid w:val="005B41D9"/>
    <w:rsid w:val="005B4C4D"/>
    <w:rsid w:val="005C09EC"/>
    <w:rsid w:val="005C0E14"/>
    <w:rsid w:val="005C1675"/>
    <w:rsid w:val="005C3835"/>
    <w:rsid w:val="005C395B"/>
    <w:rsid w:val="005C3CA0"/>
    <w:rsid w:val="005C423A"/>
    <w:rsid w:val="005C463D"/>
    <w:rsid w:val="005C4F22"/>
    <w:rsid w:val="005C7C7A"/>
    <w:rsid w:val="005D0ADD"/>
    <w:rsid w:val="005D16C4"/>
    <w:rsid w:val="005D2912"/>
    <w:rsid w:val="005D2B49"/>
    <w:rsid w:val="005D2C00"/>
    <w:rsid w:val="005D37BA"/>
    <w:rsid w:val="005D4CF1"/>
    <w:rsid w:val="005D5EF4"/>
    <w:rsid w:val="005D5F9A"/>
    <w:rsid w:val="005D68BD"/>
    <w:rsid w:val="005D6A38"/>
    <w:rsid w:val="005D6A74"/>
    <w:rsid w:val="005D7282"/>
    <w:rsid w:val="005D7355"/>
    <w:rsid w:val="005D754C"/>
    <w:rsid w:val="005D7D2E"/>
    <w:rsid w:val="005D7F65"/>
    <w:rsid w:val="005E0F1E"/>
    <w:rsid w:val="005E2F0E"/>
    <w:rsid w:val="005E34A3"/>
    <w:rsid w:val="005E4876"/>
    <w:rsid w:val="005E4909"/>
    <w:rsid w:val="005E50AE"/>
    <w:rsid w:val="005E5133"/>
    <w:rsid w:val="005E596B"/>
    <w:rsid w:val="005F2618"/>
    <w:rsid w:val="005F390E"/>
    <w:rsid w:val="005F3925"/>
    <w:rsid w:val="005F4526"/>
    <w:rsid w:val="005F493D"/>
    <w:rsid w:val="005F4A0D"/>
    <w:rsid w:val="005F4F32"/>
    <w:rsid w:val="005F5005"/>
    <w:rsid w:val="005F5DC2"/>
    <w:rsid w:val="00601484"/>
    <w:rsid w:val="00601DDE"/>
    <w:rsid w:val="006025CC"/>
    <w:rsid w:val="00602DFB"/>
    <w:rsid w:val="00603FD0"/>
    <w:rsid w:val="00604784"/>
    <w:rsid w:val="00606C32"/>
    <w:rsid w:val="006077BF"/>
    <w:rsid w:val="00607E1A"/>
    <w:rsid w:val="006123F0"/>
    <w:rsid w:val="006139C0"/>
    <w:rsid w:val="00614676"/>
    <w:rsid w:val="00615074"/>
    <w:rsid w:val="00615AEE"/>
    <w:rsid w:val="00615C5C"/>
    <w:rsid w:val="00616AAA"/>
    <w:rsid w:val="00617015"/>
    <w:rsid w:val="00617951"/>
    <w:rsid w:val="00620793"/>
    <w:rsid w:val="006207E1"/>
    <w:rsid w:val="00620C46"/>
    <w:rsid w:val="00620F7A"/>
    <w:rsid w:val="006213CD"/>
    <w:rsid w:val="00621427"/>
    <w:rsid w:val="0062184A"/>
    <w:rsid w:val="00621DCF"/>
    <w:rsid w:val="00622CAF"/>
    <w:rsid w:val="00623A20"/>
    <w:rsid w:val="006243E7"/>
    <w:rsid w:val="00624912"/>
    <w:rsid w:val="00625025"/>
    <w:rsid w:val="00631D29"/>
    <w:rsid w:val="00635A43"/>
    <w:rsid w:val="00636217"/>
    <w:rsid w:val="00637661"/>
    <w:rsid w:val="00637782"/>
    <w:rsid w:val="00637C96"/>
    <w:rsid w:val="00640007"/>
    <w:rsid w:val="00640C3C"/>
    <w:rsid w:val="00640D55"/>
    <w:rsid w:val="00640FFE"/>
    <w:rsid w:val="00641604"/>
    <w:rsid w:val="00641D45"/>
    <w:rsid w:val="00642015"/>
    <w:rsid w:val="00642B14"/>
    <w:rsid w:val="006432D8"/>
    <w:rsid w:val="006449E7"/>
    <w:rsid w:val="00645A55"/>
    <w:rsid w:val="00645CC7"/>
    <w:rsid w:val="00651F97"/>
    <w:rsid w:val="00652AEF"/>
    <w:rsid w:val="00655DB4"/>
    <w:rsid w:val="0065794D"/>
    <w:rsid w:val="00657BEC"/>
    <w:rsid w:val="006600CD"/>
    <w:rsid w:val="00661FDD"/>
    <w:rsid w:val="00662635"/>
    <w:rsid w:val="00662A4D"/>
    <w:rsid w:val="00662C0B"/>
    <w:rsid w:val="00664D22"/>
    <w:rsid w:val="00667767"/>
    <w:rsid w:val="0066776C"/>
    <w:rsid w:val="006715C7"/>
    <w:rsid w:val="0067184C"/>
    <w:rsid w:val="00672054"/>
    <w:rsid w:val="00672301"/>
    <w:rsid w:val="0067362F"/>
    <w:rsid w:val="00673E90"/>
    <w:rsid w:val="00673E98"/>
    <w:rsid w:val="00674430"/>
    <w:rsid w:val="00675E27"/>
    <w:rsid w:val="00676D0F"/>
    <w:rsid w:val="00677990"/>
    <w:rsid w:val="006805BC"/>
    <w:rsid w:val="00682857"/>
    <w:rsid w:val="006836B4"/>
    <w:rsid w:val="00683BB7"/>
    <w:rsid w:val="00684C65"/>
    <w:rsid w:val="00685DD6"/>
    <w:rsid w:val="00687797"/>
    <w:rsid w:val="00687D16"/>
    <w:rsid w:val="006929A1"/>
    <w:rsid w:val="00692E64"/>
    <w:rsid w:val="00693C93"/>
    <w:rsid w:val="00694028"/>
    <w:rsid w:val="006945A3"/>
    <w:rsid w:val="006956DF"/>
    <w:rsid w:val="006959EF"/>
    <w:rsid w:val="00696794"/>
    <w:rsid w:val="006976D6"/>
    <w:rsid w:val="00697FC8"/>
    <w:rsid w:val="006A0E78"/>
    <w:rsid w:val="006A1244"/>
    <w:rsid w:val="006A1266"/>
    <w:rsid w:val="006A428A"/>
    <w:rsid w:val="006A549E"/>
    <w:rsid w:val="006A7B76"/>
    <w:rsid w:val="006B0A0B"/>
    <w:rsid w:val="006B112F"/>
    <w:rsid w:val="006B2CA4"/>
    <w:rsid w:val="006B5A43"/>
    <w:rsid w:val="006B6512"/>
    <w:rsid w:val="006B675A"/>
    <w:rsid w:val="006B720D"/>
    <w:rsid w:val="006C01A4"/>
    <w:rsid w:val="006C0F04"/>
    <w:rsid w:val="006C20FC"/>
    <w:rsid w:val="006C23EB"/>
    <w:rsid w:val="006C293D"/>
    <w:rsid w:val="006C35D7"/>
    <w:rsid w:val="006C4AA3"/>
    <w:rsid w:val="006C630F"/>
    <w:rsid w:val="006C775D"/>
    <w:rsid w:val="006D0F54"/>
    <w:rsid w:val="006D1898"/>
    <w:rsid w:val="006D1B0D"/>
    <w:rsid w:val="006D2F4B"/>
    <w:rsid w:val="006D3F93"/>
    <w:rsid w:val="006D45A0"/>
    <w:rsid w:val="006D67E8"/>
    <w:rsid w:val="006D6E1B"/>
    <w:rsid w:val="006D7092"/>
    <w:rsid w:val="006D71A1"/>
    <w:rsid w:val="006D72B4"/>
    <w:rsid w:val="006E2A11"/>
    <w:rsid w:val="006E5727"/>
    <w:rsid w:val="006E7C86"/>
    <w:rsid w:val="006E7F2B"/>
    <w:rsid w:val="006F03B8"/>
    <w:rsid w:val="006F13E6"/>
    <w:rsid w:val="006F196D"/>
    <w:rsid w:val="006F2BB3"/>
    <w:rsid w:val="006F31C1"/>
    <w:rsid w:val="006F3242"/>
    <w:rsid w:val="006F4184"/>
    <w:rsid w:val="006F447F"/>
    <w:rsid w:val="006F4A02"/>
    <w:rsid w:val="006F6191"/>
    <w:rsid w:val="006F6FC4"/>
    <w:rsid w:val="00702883"/>
    <w:rsid w:val="00703095"/>
    <w:rsid w:val="007038C9"/>
    <w:rsid w:val="00704469"/>
    <w:rsid w:val="00705B34"/>
    <w:rsid w:val="00710600"/>
    <w:rsid w:val="00710B04"/>
    <w:rsid w:val="00711779"/>
    <w:rsid w:val="007126E4"/>
    <w:rsid w:val="00712DDD"/>
    <w:rsid w:val="00713921"/>
    <w:rsid w:val="00713B5D"/>
    <w:rsid w:val="00714DB5"/>
    <w:rsid w:val="00716D97"/>
    <w:rsid w:val="00717407"/>
    <w:rsid w:val="007203BE"/>
    <w:rsid w:val="00721785"/>
    <w:rsid w:val="007218BB"/>
    <w:rsid w:val="007232FC"/>
    <w:rsid w:val="007234EF"/>
    <w:rsid w:val="00723C25"/>
    <w:rsid w:val="007240B6"/>
    <w:rsid w:val="0072449D"/>
    <w:rsid w:val="0072454F"/>
    <w:rsid w:val="00725394"/>
    <w:rsid w:val="00726553"/>
    <w:rsid w:val="007267AB"/>
    <w:rsid w:val="00726812"/>
    <w:rsid w:val="0073019A"/>
    <w:rsid w:val="007303D9"/>
    <w:rsid w:val="00730B58"/>
    <w:rsid w:val="00731E80"/>
    <w:rsid w:val="007323DE"/>
    <w:rsid w:val="00733DBD"/>
    <w:rsid w:val="00735660"/>
    <w:rsid w:val="00735C66"/>
    <w:rsid w:val="0073768D"/>
    <w:rsid w:val="007415CC"/>
    <w:rsid w:val="00741FF8"/>
    <w:rsid w:val="00742D06"/>
    <w:rsid w:val="007437F7"/>
    <w:rsid w:val="00744665"/>
    <w:rsid w:val="00744776"/>
    <w:rsid w:val="007449AE"/>
    <w:rsid w:val="00744A8D"/>
    <w:rsid w:val="00745024"/>
    <w:rsid w:val="0074619D"/>
    <w:rsid w:val="007463E5"/>
    <w:rsid w:val="007500E7"/>
    <w:rsid w:val="00750662"/>
    <w:rsid w:val="00750BCB"/>
    <w:rsid w:val="00751050"/>
    <w:rsid w:val="0075170A"/>
    <w:rsid w:val="00753159"/>
    <w:rsid w:val="00755E0D"/>
    <w:rsid w:val="0075612E"/>
    <w:rsid w:val="0075630E"/>
    <w:rsid w:val="00756EB4"/>
    <w:rsid w:val="00760CFF"/>
    <w:rsid w:val="007638DB"/>
    <w:rsid w:val="00764241"/>
    <w:rsid w:val="0076469B"/>
    <w:rsid w:val="00764E69"/>
    <w:rsid w:val="0076576A"/>
    <w:rsid w:val="00766061"/>
    <w:rsid w:val="00766E3A"/>
    <w:rsid w:val="00766EBD"/>
    <w:rsid w:val="007705A4"/>
    <w:rsid w:val="00771AE3"/>
    <w:rsid w:val="0077377F"/>
    <w:rsid w:val="0077462F"/>
    <w:rsid w:val="00774FAE"/>
    <w:rsid w:val="00781381"/>
    <w:rsid w:val="007823D8"/>
    <w:rsid w:val="00783503"/>
    <w:rsid w:val="00783AA3"/>
    <w:rsid w:val="00783BAF"/>
    <w:rsid w:val="00785021"/>
    <w:rsid w:val="00790007"/>
    <w:rsid w:val="00791221"/>
    <w:rsid w:val="0079171F"/>
    <w:rsid w:val="00792FE7"/>
    <w:rsid w:val="00793199"/>
    <w:rsid w:val="007934ED"/>
    <w:rsid w:val="00795228"/>
    <w:rsid w:val="00795F41"/>
    <w:rsid w:val="007A5D60"/>
    <w:rsid w:val="007A5EC7"/>
    <w:rsid w:val="007A68BD"/>
    <w:rsid w:val="007A74DE"/>
    <w:rsid w:val="007A7AD1"/>
    <w:rsid w:val="007A7D98"/>
    <w:rsid w:val="007B04B3"/>
    <w:rsid w:val="007B0E21"/>
    <w:rsid w:val="007B105E"/>
    <w:rsid w:val="007B1636"/>
    <w:rsid w:val="007B1D13"/>
    <w:rsid w:val="007B1F86"/>
    <w:rsid w:val="007B2708"/>
    <w:rsid w:val="007B2EC3"/>
    <w:rsid w:val="007B41D3"/>
    <w:rsid w:val="007B6D27"/>
    <w:rsid w:val="007B6D38"/>
    <w:rsid w:val="007B7DE5"/>
    <w:rsid w:val="007C246B"/>
    <w:rsid w:val="007C2825"/>
    <w:rsid w:val="007C3824"/>
    <w:rsid w:val="007C3B9C"/>
    <w:rsid w:val="007C4363"/>
    <w:rsid w:val="007C4AD5"/>
    <w:rsid w:val="007C551F"/>
    <w:rsid w:val="007C6328"/>
    <w:rsid w:val="007C6D56"/>
    <w:rsid w:val="007C715D"/>
    <w:rsid w:val="007D08C4"/>
    <w:rsid w:val="007D4B10"/>
    <w:rsid w:val="007D565A"/>
    <w:rsid w:val="007D5EB9"/>
    <w:rsid w:val="007D77D0"/>
    <w:rsid w:val="007E0CFA"/>
    <w:rsid w:val="007E59F3"/>
    <w:rsid w:val="007E6C72"/>
    <w:rsid w:val="007E6E1E"/>
    <w:rsid w:val="007E6E8D"/>
    <w:rsid w:val="007E7244"/>
    <w:rsid w:val="007E7A41"/>
    <w:rsid w:val="007F0499"/>
    <w:rsid w:val="007F05E5"/>
    <w:rsid w:val="007F0885"/>
    <w:rsid w:val="007F0BFD"/>
    <w:rsid w:val="007F4689"/>
    <w:rsid w:val="007F68CB"/>
    <w:rsid w:val="007F6957"/>
    <w:rsid w:val="007F75FE"/>
    <w:rsid w:val="007F7A26"/>
    <w:rsid w:val="007F7DE5"/>
    <w:rsid w:val="00800B0D"/>
    <w:rsid w:val="00802BC1"/>
    <w:rsid w:val="00802EC2"/>
    <w:rsid w:val="00802F49"/>
    <w:rsid w:val="00803E5C"/>
    <w:rsid w:val="0080555B"/>
    <w:rsid w:val="008057CB"/>
    <w:rsid w:val="00806FD1"/>
    <w:rsid w:val="008112ED"/>
    <w:rsid w:val="0081462A"/>
    <w:rsid w:val="00815332"/>
    <w:rsid w:val="0082170D"/>
    <w:rsid w:val="00821C40"/>
    <w:rsid w:val="00822ECD"/>
    <w:rsid w:val="0082302E"/>
    <w:rsid w:val="0082349E"/>
    <w:rsid w:val="00824466"/>
    <w:rsid w:val="00824A39"/>
    <w:rsid w:val="00827FB7"/>
    <w:rsid w:val="00831CB2"/>
    <w:rsid w:val="00832DC9"/>
    <w:rsid w:val="00832E0D"/>
    <w:rsid w:val="00833B85"/>
    <w:rsid w:val="008346A7"/>
    <w:rsid w:val="00835654"/>
    <w:rsid w:val="008366B0"/>
    <w:rsid w:val="00837D5E"/>
    <w:rsid w:val="008405CA"/>
    <w:rsid w:val="0084075A"/>
    <w:rsid w:val="00840CCA"/>
    <w:rsid w:val="00840D23"/>
    <w:rsid w:val="00842857"/>
    <w:rsid w:val="00843876"/>
    <w:rsid w:val="00844254"/>
    <w:rsid w:val="008450D0"/>
    <w:rsid w:val="0084557F"/>
    <w:rsid w:val="00845BEC"/>
    <w:rsid w:val="00846580"/>
    <w:rsid w:val="00846A8B"/>
    <w:rsid w:val="008476D8"/>
    <w:rsid w:val="0085097E"/>
    <w:rsid w:val="008509BA"/>
    <w:rsid w:val="00852241"/>
    <w:rsid w:val="00852609"/>
    <w:rsid w:val="0085264B"/>
    <w:rsid w:val="0085380C"/>
    <w:rsid w:val="008553E5"/>
    <w:rsid w:val="008555EA"/>
    <w:rsid w:val="008556C7"/>
    <w:rsid w:val="008571D7"/>
    <w:rsid w:val="008600D5"/>
    <w:rsid w:val="00860434"/>
    <w:rsid w:val="00860851"/>
    <w:rsid w:val="008614E1"/>
    <w:rsid w:val="00863F5E"/>
    <w:rsid w:val="00864516"/>
    <w:rsid w:val="008645E0"/>
    <w:rsid w:val="008656A1"/>
    <w:rsid w:val="008701A4"/>
    <w:rsid w:val="0087052B"/>
    <w:rsid w:val="00871EF2"/>
    <w:rsid w:val="0087297B"/>
    <w:rsid w:val="00872B1B"/>
    <w:rsid w:val="008755E6"/>
    <w:rsid w:val="00875CF2"/>
    <w:rsid w:val="00875D20"/>
    <w:rsid w:val="0087660A"/>
    <w:rsid w:val="00876F2E"/>
    <w:rsid w:val="00877C4D"/>
    <w:rsid w:val="0088051C"/>
    <w:rsid w:val="00880815"/>
    <w:rsid w:val="008809F6"/>
    <w:rsid w:val="00880D53"/>
    <w:rsid w:val="0088222E"/>
    <w:rsid w:val="00884560"/>
    <w:rsid w:val="00885F28"/>
    <w:rsid w:val="00886056"/>
    <w:rsid w:val="00886B82"/>
    <w:rsid w:val="00887AE8"/>
    <w:rsid w:val="00887D04"/>
    <w:rsid w:val="00890E78"/>
    <w:rsid w:val="0089162A"/>
    <w:rsid w:val="0089355A"/>
    <w:rsid w:val="0089538B"/>
    <w:rsid w:val="00895AA2"/>
    <w:rsid w:val="00896587"/>
    <w:rsid w:val="008A0631"/>
    <w:rsid w:val="008A14EF"/>
    <w:rsid w:val="008A2689"/>
    <w:rsid w:val="008A37AE"/>
    <w:rsid w:val="008A437A"/>
    <w:rsid w:val="008A4780"/>
    <w:rsid w:val="008A6BDC"/>
    <w:rsid w:val="008A6FBA"/>
    <w:rsid w:val="008B007E"/>
    <w:rsid w:val="008B03D9"/>
    <w:rsid w:val="008B0C36"/>
    <w:rsid w:val="008B1A75"/>
    <w:rsid w:val="008B2F71"/>
    <w:rsid w:val="008B5508"/>
    <w:rsid w:val="008B66B4"/>
    <w:rsid w:val="008B68E2"/>
    <w:rsid w:val="008B6B8E"/>
    <w:rsid w:val="008B7D7D"/>
    <w:rsid w:val="008C08FD"/>
    <w:rsid w:val="008C0FE1"/>
    <w:rsid w:val="008C156C"/>
    <w:rsid w:val="008C3182"/>
    <w:rsid w:val="008C36D8"/>
    <w:rsid w:val="008C3ED5"/>
    <w:rsid w:val="008C4857"/>
    <w:rsid w:val="008C4954"/>
    <w:rsid w:val="008C4B50"/>
    <w:rsid w:val="008C5B3C"/>
    <w:rsid w:val="008C5FEC"/>
    <w:rsid w:val="008D0F09"/>
    <w:rsid w:val="008D12CB"/>
    <w:rsid w:val="008D152B"/>
    <w:rsid w:val="008D1C35"/>
    <w:rsid w:val="008D4A1B"/>
    <w:rsid w:val="008D6C2A"/>
    <w:rsid w:val="008D6C43"/>
    <w:rsid w:val="008D6FD0"/>
    <w:rsid w:val="008D758B"/>
    <w:rsid w:val="008D7821"/>
    <w:rsid w:val="008E26CA"/>
    <w:rsid w:val="008E3183"/>
    <w:rsid w:val="008E36D6"/>
    <w:rsid w:val="008E37C8"/>
    <w:rsid w:val="008E37D4"/>
    <w:rsid w:val="008E458B"/>
    <w:rsid w:val="008E49B0"/>
    <w:rsid w:val="008E4EF7"/>
    <w:rsid w:val="008E50C8"/>
    <w:rsid w:val="008E6424"/>
    <w:rsid w:val="008E6496"/>
    <w:rsid w:val="008E75A9"/>
    <w:rsid w:val="008F08CD"/>
    <w:rsid w:val="008F14B3"/>
    <w:rsid w:val="008F3946"/>
    <w:rsid w:val="008F3B2F"/>
    <w:rsid w:val="008F411B"/>
    <w:rsid w:val="008F41F1"/>
    <w:rsid w:val="008F65FC"/>
    <w:rsid w:val="008F6C46"/>
    <w:rsid w:val="00900296"/>
    <w:rsid w:val="009003A2"/>
    <w:rsid w:val="00900B2C"/>
    <w:rsid w:val="00900F04"/>
    <w:rsid w:val="00901E68"/>
    <w:rsid w:val="00902654"/>
    <w:rsid w:val="009026FA"/>
    <w:rsid w:val="00902D0A"/>
    <w:rsid w:val="009032FD"/>
    <w:rsid w:val="0090341D"/>
    <w:rsid w:val="009037E6"/>
    <w:rsid w:val="00904433"/>
    <w:rsid w:val="0090448D"/>
    <w:rsid w:val="00905F38"/>
    <w:rsid w:val="009065E2"/>
    <w:rsid w:val="009067DA"/>
    <w:rsid w:val="009069BF"/>
    <w:rsid w:val="00911D80"/>
    <w:rsid w:val="00914B56"/>
    <w:rsid w:val="00916F7E"/>
    <w:rsid w:val="00917004"/>
    <w:rsid w:val="0092032D"/>
    <w:rsid w:val="00921015"/>
    <w:rsid w:val="00921E52"/>
    <w:rsid w:val="00922256"/>
    <w:rsid w:val="00922471"/>
    <w:rsid w:val="00924A20"/>
    <w:rsid w:val="009258B3"/>
    <w:rsid w:val="00926304"/>
    <w:rsid w:val="00926689"/>
    <w:rsid w:val="009266A8"/>
    <w:rsid w:val="00927A83"/>
    <w:rsid w:val="00930C62"/>
    <w:rsid w:val="009316D6"/>
    <w:rsid w:val="00932956"/>
    <w:rsid w:val="00934936"/>
    <w:rsid w:val="00934BE7"/>
    <w:rsid w:val="009368A6"/>
    <w:rsid w:val="00940143"/>
    <w:rsid w:val="00940624"/>
    <w:rsid w:val="00942888"/>
    <w:rsid w:val="00943801"/>
    <w:rsid w:val="009454CD"/>
    <w:rsid w:val="00947088"/>
    <w:rsid w:val="0094712F"/>
    <w:rsid w:val="00947528"/>
    <w:rsid w:val="009477A0"/>
    <w:rsid w:val="00947A7E"/>
    <w:rsid w:val="00947F10"/>
    <w:rsid w:val="009507FC"/>
    <w:rsid w:val="00950E10"/>
    <w:rsid w:val="009516A2"/>
    <w:rsid w:val="00951FE4"/>
    <w:rsid w:val="009538F2"/>
    <w:rsid w:val="009558AB"/>
    <w:rsid w:val="00960343"/>
    <w:rsid w:val="0096103E"/>
    <w:rsid w:val="00961E72"/>
    <w:rsid w:val="00963E6E"/>
    <w:rsid w:val="00964A08"/>
    <w:rsid w:val="00964B7B"/>
    <w:rsid w:val="00964E3E"/>
    <w:rsid w:val="00964FC7"/>
    <w:rsid w:val="0096655E"/>
    <w:rsid w:val="00966C51"/>
    <w:rsid w:val="00970294"/>
    <w:rsid w:val="00971BE8"/>
    <w:rsid w:val="009723EB"/>
    <w:rsid w:val="00972FCA"/>
    <w:rsid w:val="0097459B"/>
    <w:rsid w:val="00974877"/>
    <w:rsid w:val="0097553A"/>
    <w:rsid w:val="00975A71"/>
    <w:rsid w:val="00976A03"/>
    <w:rsid w:val="00976BE8"/>
    <w:rsid w:val="00976CAA"/>
    <w:rsid w:val="00977398"/>
    <w:rsid w:val="00977AD2"/>
    <w:rsid w:val="00981286"/>
    <w:rsid w:val="00981F68"/>
    <w:rsid w:val="00982394"/>
    <w:rsid w:val="00983503"/>
    <w:rsid w:val="00983505"/>
    <w:rsid w:val="00985278"/>
    <w:rsid w:val="009856BF"/>
    <w:rsid w:val="009868B4"/>
    <w:rsid w:val="009873AD"/>
    <w:rsid w:val="00987C52"/>
    <w:rsid w:val="009904C9"/>
    <w:rsid w:val="00991028"/>
    <w:rsid w:val="00991518"/>
    <w:rsid w:val="00994C25"/>
    <w:rsid w:val="00995E39"/>
    <w:rsid w:val="00996036"/>
    <w:rsid w:val="00997820"/>
    <w:rsid w:val="009A0908"/>
    <w:rsid w:val="009A0F93"/>
    <w:rsid w:val="009A1219"/>
    <w:rsid w:val="009A16D3"/>
    <w:rsid w:val="009A1E4A"/>
    <w:rsid w:val="009A1E7F"/>
    <w:rsid w:val="009A2716"/>
    <w:rsid w:val="009A2EF4"/>
    <w:rsid w:val="009A37DC"/>
    <w:rsid w:val="009A3C13"/>
    <w:rsid w:val="009A41B1"/>
    <w:rsid w:val="009A42CA"/>
    <w:rsid w:val="009A4394"/>
    <w:rsid w:val="009A61B8"/>
    <w:rsid w:val="009A632C"/>
    <w:rsid w:val="009A6719"/>
    <w:rsid w:val="009A6C6C"/>
    <w:rsid w:val="009A7445"/>
    <w:rsid w:val="009B124B"/>
    <w:rsid w:val="009B16F0"/>
    <w:rsid w:val="009B4694"/>
    <w:rsid w:val="009B489B"/>
    <w:rsid w:val="009B4A5D"/>
    <w:rsid w:val="009B6B19"/>
    <w:rsid w:val="009B7B96"/>
    <w:rsid w:val="009C04CB"/>
    <w:rsid w:val="009C0551"/>
    <w:rsid w:val="009C1908"/>
    <w:rsid w:val="009C1DAD"/>
    <w:rsid w:val="009C20AB"/>
    <w:rsid w:val="009C223D"/>
    <w:rsid w:val="009C2B41"/>
    <w:rsid w:val="009C2E3C"/>
    <w:rsid w:val="009C3F54"/>
    <w:rsid w:val="009C7433"/>
    <w:rsid w:val="009C7F52"/>
    <w:rsid w:val="009D04C0"/>
    <w:rsid w:val="009D3166"/>
    <w:rsid w:val="009D3FFE"/>
    <w:rsid w:val="009D41EA"/>
    <w:rsid w:val="009D47E9"/>
    <w:rsid w:val="009D5717"/>
    <w:rsid w:val="009D59D6"/>
    <w:rsid w:val="009D7D2D"/>
    <w:rsid w:val="009E0B16"/>
    <w:rsid w:val="009E29D9"/>
    <w:rsid w:val="009E3D81"/>
    <w:rsid w:val="009E52B7"/>
    <w:rsid w:val="009E61CD"/>
    <w:rsid w:val="009E69DF"/>
    <w:rsid w:val="009E75AE"/>
    <w:rsid w:val="009F1496"/>
    <w:rsid w:val="009F1A6C"/>
    <w:rsid w:val="009F1ADE"/>
    <w:rsid w:val="009F2240"/>
    <w:rsid w:val="009F2731"/>
    <w:rsid w:val="009F28A5"/>
    <w:rsid w:val="009F2B9B"/>
    <w:rsid w:val="009F2C2D"/>
    <w:rsid w:val="009F2EA1"/>
    <w:rsid w:val="009F35D1"/>
    <w:rsid w:val="009F3B6A"/>
    <w:rsid w:val="009F4191"/>
    <w:rsid w:val="009F4378"/>
    <w:rsid w:val="009F461A"/>
    <w:rsid w:val="009F7F67"/>
    <w:rsid w:val="00A00D33"/>
    <w:rsid w:val="00A01F8B"/>
    <w:rsid w:val="00A02151"/>
    <w:rsid w:val="00A035EC"/>
    <w:rsid w:val="00A048EC"/>
    <w:rsid w:val="00A052FC"/>
    <w:rsid w:val="00A05B7F"/>
    <w:rsid w:val="00A06592"/>
    <w:rsid w:val="00A06DF8"/>
    <w:rsid w:val="00A07C13"/>
    <w:rsid w:val="00A10E12"/>
    <w:rsid w:val="00A11199"/>
    <w:rsid w:val="00A11CDA"/>
    <w:rsid w:val="00A11FCA"/>
    <w:rsid w:val="00A12B28"/>
    <w:rsid w:val="00A13A6B"/>
    <w:rsid w:val="00A13CB6"/>
    <w:rsid w:val="00A14E81"/>
    <w:rsid w:val="00A15174"/>
    <w:rsid w:val="00A153FB"/>
    <w:rsid w:val="00A16703"/>
    <w:rsid w:val="00A16B40"/>
    <w:rsid w:val="00A173C5"/>
    <w:rsid w:val="00A2012F"/>
    <w:rsid w:val="00A2152E"/>
    <w:rsid w:val="00A21F5B"/>
    <w:rsid w:val="00A22026"/>
    <w:rsid w:val="00A23594"/>
    <w:rsid w:val="00A24D3B"/>
    <w:rsid w:val="00A2736A"/>
    <w:rsid w:val="00A3016A"/>
    <w:rsid w:val="00A3063B"/>
    <w:rsid w:val="00A31BA3"/>
    <w:rsid w:val="00A31EEE"/>
    <w:rsid w:val="00A3262A"/>
    <w:rsid w:val="00A33474"/>
    <w:rsid w:val="00A34BA1"/>
    <w:rsid w:val="00A35A0A"/>
    <w:rsid w:val="00A36DEC"/>
    <w:rsid w:val="00A42711"/>
    <w:rsid w:val="00A42BC1"/>
    <w:rsid w:val="00A4398A"/>
    <w:rsid w:val="00A46128"/>
    <w:rsid w:val="00A4627E"/>
    <w:rsid w:val="00A46CF8"/>
    <w:rsid w:val="00A47B90"/>
    <w:rsid w:val="00A5166B"/>
    <w:rsid w:val="00A5315A"/>
    <w:rsid w:val="00A5339E"/>
    <w:rsid w:val="00A539EE"/>
    <w:rsid w:val="00A53A11"/>
    <w:rsid w:val="00A56700"/>
    <w:rsid w:val="00A5733F"/>
    <w:rsid w:val="00A57621"/>
    <w:rsid w:val="00A60D08"/>
    <w:rsid w:val="00A61DD5"/>
    <w:rsid w:val="00A621F7"/>
    <w:rsid w:val="00A623A6"/>
    <w:rsid w:val="00A62B71"/>
    <w:rsid w:val="00A62EA3"/>
    <w:rsid w:val="00A65238"/>
    <w:rsid w:val="00A670D2"/>
    <w:rsid w:val="00A7007B"/>
    <w:rsid w:val="00A7016F"/>
    <w:rsid w:val="00A71588"/>
    <w:rsid w:val="00A718DC"/>
    <w:rsid w:val="00A71E45"/>
    <w:rsid w:val="00A730B7"/>
    <w:rsid w:val="00A7581D"/>
    <w:rsid w:val="00A767AC"/>
    <w:rsid w:val="00A76D7A"/>
    <w:rsid w:val="00A773C6"/>
    <w:rsid w:val="00A77884"/>
    <w:rsid w:val="00A77EE5"/>
    <w:rsid w:val="00A802FE"/>
    <w:rsid w:val="00A808D1"/>
    <w:rsid w:val="00A80A52"/>
    <w:rsid w:val="00A81675"/>
    <w:rsid w:val="00A820EF"/>
    <w:rsid w:val="00A826CB"/>
    <w:rsid w:val="00A82FA4"/>
    <w:rsid w:val="00A83C32"/>
    <w:rsid w:val="00A84B7B"/>
    <w:rsid w:val="00A84E46"/>
    <w:rsid w:val="00A85EC3"/>
    <w:rsid w:val="00A87309"/>
    <w:rsid w:val="00A87AA7"/>
    <w:rsid w:val="00A90438"/>
    <w:rsid w:val="00A913A8"/>
    <w:rsid w:val="00A91673"/>
    <w:rsid w:val="00A92AF7"/>
    <w:rsid w:val="00A93CB1"/>
    <w:rsid w:val="00A96D43"/>
    <w:rsid w:val="00A97375"/>
    <w:rsid w:val="00AA1B6D"/>
    <w:rsid w:val="00AA20F7"/>
    <w:rsid w:val="00AA2626"/>
    <w:rsid w:val="00AA40FA"/>
    <w:rsid w:val="00AA464C"/>
    <w:rsid w:val="00AA50EC"/>
    <w:rsid w:val="00AA51F6"/>
    <w:rsid w:val="00AA5E90"/>
    <w:rsid w:val="00AB01EC"/>
    <w:rsid w:val="00AB32C7"/>
    <w:rsid w:val="00AB42F3"/>
    <w:rsid w:val="00AB4726"/>
    <w:rsid w:val="00AB4861"/>
    <w:rsid w:val="00AB4D8C"/>
    <w:rsid w:val="00AB58EF"/>
    <w:rsid w:val="00AB5953"/>
    <w:rsid w:val="00AB67C6"/>
    <w:rsid w:val="00AB69FE"/>
    <w:rsid w:val="00AB787D"/>
    <w:rsid w:val="00AC0E6E"/>
    <w:rsid w:val="00AC1F29"/>
    <w:rsid w:val="00AC2F55"/>
    <w:rsid w:val="00AC456A"/>
    <w:rsid w:val="00AC57BB"/>
    <w:rsid w:val="00AC5AB1"/>
    <w:rsid w:val="00AC7428"/>
    <w:rsid w:val="00AD08FC"/>
    <w:rsid w:val="00AD27B8"/>
    <w:rsid w:val="00AD2F0E"/>
    <w:rsid w:val="00AD3BCD"/>
    <w:rsid w:val="00AD449D"/>
    <w:rsid w:val="00AD5227"/>
    <w:rsid w:val="00AD65FC"/>
    <w:rsid w:val="00AD72B5"/>
    <w:rsid w:val="00AD76E4"/>
    <w:rsid w:val="00AE05B1"/>
    <w:rsid w:val="00AE0886"/>
    <w:rsid w:val="00AE096B"/>
    <w:rsid w:val="00AE1920"/>
    <w:rsid w:val="00AE2306"/>
    <w:rsid w:val="00AE24E0"/>
    <w:rsid w:val="00AE28B3"/>
    <w:rsid w:val="00AE2C97"/>
    <w:rsid w:val="00AE380E"/>
    <w:rsid w:val="00AE3BD2"/>
    <w:rsid w:val="00AE46F5"/>
    <w:rsid w:val="00AE68E6"/>
    <w:rsid w:val="00AE6BDC"/>
    <w:rsid w:val="00AE7490"/>
    <w:rsid w:val="00AF06FA"/>
    <w:rsid w:val="00AF0E76"/>
    <w:rsid w:val="00AF1642"/>
    <w:rsid w:val="00AF1C5F"/>
    <w:rsid w:val="00AF217F"/>
    <w:rsid w:val="00AF4C5A"/>
    <w:rsid w:val="00AF6DFB"/>
    <w:rsid w:val="00B008C4"/>
    <w:rsid w:val="00B00DDC"/>
    <w:rsid w:val="00B02F9D"/>
    <w:rsid w:val="00B038A9"/>
    <w:rsid w:val="00B0421E"/>
    <w:rsid w:val="00B04ECB"/>
    <w:rsid w:val="00B05A5C"/>
    <w:rsid w:val="00B06939"/>
    <w:rsid w:val="00B07D42"/>
    <w:rsid w:val="00B10425"/>
    <w:rsid w:val="00B10FD1"/>
    <w:rsid w:val="00B11AE5"/>
    <w:rsid w:val="00B11D4D"/>
    <w:rsid w:val="00B125E5"/>
    <w:rsid w:val="00B135CE"/>
    <w:rsid w:val="00B1418C"/>
    <w:rsid w:val="00B148C5"/>
    <w:rsid w:val="00B14AC5"/>
    <w:rsid w:val="00B1659A"/>
    <w:rsid w:val="00B16B05"/>
    <w:rsid w:val="00B20FDA"/>
    <w:rsid w:val="00B210B5"/>
    <w:rsid w:val="00B22CED"/>
    <w:rsid w:val="00B25BE6"/>
    <w:rsid w:val="00B25E0F"/>
    <w:rsid w:val="00B27F82"/>
    <w:rsid w:val="00B302B8"/>
    <w:rsid w:val="00B307A5"/>
    <w:rsid w:val="00B30F5A"/>
    <w:rsid w:val="00B3116E"/>
    <w:rsid w:val="00B32AFC"/>
    <w:rsid w:val="00B3370C"/>
    <w:rsid w:val="00B34697"/>
    <w:rsid w:val="00B34982"/>
    <w:rsid w:val="00B371AE"/>
    <w:rsid w:val="00B41ACC"/>
    <w:rsid w:val="00B42BB1"/>
    <w:rsid w:val="00B44255"/>
    <w:rsid w:val="00B44C6D"/>
    <w:rsid w:val="00B44CDD"/>
    <w:rsid w:val="00B45413"/>
    <w:rsid w:val="00B4579A"/>
    <w:rsid w:val="00B45A22"/>
    <w:rsid w:val="00B465BA"/>
    <w:rsid w:val="00B46666"/>
    <w:rsid w:val="00B46B19"/>
    <w:rsid w:val="00B50FD7"/>
    <w:rsid w:val="00B519F5"/>
    <w:rsid w:val="00B51EED"/>
    <w:rsid w:val="00B528FA"/>
    <w:rsid w:val="00B532B7"/>
    <w:rsid w:val="00B53A4C"/>
    <w:rsid w:val="00B54F3F"/>
    <w:rsid w:val="00B56FA2"/>
    <w:rsid w:val="00B605EA"/>
    <w:rsid w:val="00B60F34"/>
    <w:rsid w:val="00B61EA6"/>
    <w:rsid w:val="00B63843"/>
    <w:rsid w:val="00B63DDD"/>
    <w:rsid w:val="00B6525E"/>
    <w:rsid w:val="00B65537"/>
    <w:rsid w:val="00B703ED"/>
    <w:rsid w:val="00B710CB"/>
    <w:rsid w:val="00B72E47"/>
    <w:rsid w:val="00B734C6"/>
    <w:rsid w:val="00B73C01"/>
    <w:rsid w:val="00B74974"/>
    <w:rsid w:val="00B75413"/>
    <w:rsid w:val="00B80505"/>
    <w:rsid w:val="00B82068"/>
    <w:rsid w:val="00B83FA9"/>
    <w:rsid w:val="00B846C4"/>
    <w:rsid w:val="00B84B6E"/>
    <w:rsid w:val="00B8772E"/>
    <w:rsid w:val="00B90BDD"/>
    <w:rsid w:val="00B910D5"/>
    <w:rsid w:val="00B93102"/>
    <w:rsid w:val="00B93A77"/>
    <w:rsid w:val="00BA0943"/>
    <w:rsid w:val="00BA0BED"/>
    <w:rsid w:val="00BA376B"/>
    <w:rsid w:val="00BA3A69"/>
    <w:rsid w:val="00BA414B"/>
    <w:rsid w:val="00BA46C1"/>
    <w:rsid w:val="00BA5460"/>
    <w:rsid w:val="00BA5BFA"/>
    <w:rsid w:val="00BA5C64"/>
    <w:rsid w:val="00BA7288"/>
    <w:rsid w:val="00BB0BD6"/>
    <w:rsid w:val="00BB1B32"/>
    <w:rsid w:val="00BB2443"/>
    <w:rsid w:val="00BB35B9"/>
    <w:rsid w:val="00BB564A"/>
    <w:rsid w:val="00BB67AD"/>
    <w:rsid w:val="00BB6FB3"/>
    <w:rsid w:val="00BC0175"/>
    <w:rsid w:val="00BC14CB"/>
    <w:rsid w:val="00BC1781"/>
    <w:rsid w:val="00BC3DF6"/>
    <w:rsid w:val="00BD12F7"/>
    <w:rsid w:val="00BD20E0"/>
    <w:rsid w:val="00BD2401"/>
    <w:rsid w:val="00BD2A0A"/>
    <w:rsid w:val="00BD404C"/>
    <w:rsid w:val="00BD43D4"/>
    <w:rsid w:val="00BD474C"/>
    <w:rsid w:val="00BD549D"/>
    <w:rsid w:val="00BD5E70"/>
    <w:rsid w:val="00BD7961"/>
    <w:rsid w:val="00BD796D"/>
    <w:rsid w:val="00BE0856"/>
    <w:rsid w:val="00BE1699"/>
    <w:rsid w:val="00BE252D"/>
    <w:rsid w:val="00BE40C9"/>
    <w:rsid w:val="00BE4868"/>
    <w:rsid w:val="00BE5674"/>
    <w:rsid w:val="00BE5BE4"/>
    <w:rsid w:val="00BE6676"/>
    <w:rsid w:val="00BE6BCF"/>
    <w:rsid w:val="00BF1C27"/>
    <w:rsid w:val="00BF20B4"/>
    <w:rsid w:val="00BF41E1"/>
    <w:rsid w:val="00BF488C"/>
    <w:rsid w:val="00BF657B"/>
    <w:rsid w:val="00BF67F1"/>
    <w:rsid w:val="00BF716C"/>
    <w:rsid w:val="00C00CB5"/>
    <w:rsid w:val="00C01038"/>
    <w:rsid w:val="00C016A3"/>
    <w:rsid w:val="00C026C3"/>
    <w:rsid w:val="00C02FBF"/>
    <w:rsid w:val="00C05A81"/>
    <w:rsid w:val="00C06C1B"/>
    <w:rsid w:val="00C07C01"/>
    <w:rsid w:val="00C118F2"/>
    <w:rsid w:val="00C12128"/>
    <w:rsid w:val="00C12F0B"/>
    <w:rsid w:val="00C131D9"/>
    <w:rsid w:val="00C1364B"/>
    <w:rsid w:val="00C15B02"/>
    <w:rsid w:val="00C16600"/>
    <w:rsid w:val="00C173D9"/>
    <w:rsid w:val="00C17772"/>
    <w:rsid w:val="00C17F9D"/>
    <w:rsid w:val="00C20106"/>
    <w:rsid w:val="00C21035"/>
    <w:rsid w:val="00C21285"/>
    <w:rsid w:val="00C24B7A"/>
    <w:rsid w:val="00C24F2B"/>
    <w:rsid w:val="00C25B1F"/>
    <w:rsid w:val="00C27769"/>
    <w:rsid w:val="00C27F31"/>
    <w:rsid w:val="00C30DDC"/>
    <w:rsid w:val="00C31ADE"/>
    <w:rsid w:val="00C33D32"/>
    <w:rsid w:val="00C3561F"/>
    <w:rsid w:val="00C422C0"/>
    <w:rsid w:val="00C4232A"/>
    <w:rsid w:val="00C4232E"/>
    <w:rsid w:val="00C43A45"/>
    <w:rsid w:val="00C43F14"/>
    <w:rsid w:val="00C446F6"/>
    <w:rsid w:val="00C45CE6"/>
    <w:rsid w:val="00C45F56"/>
    <w:rsid w:val="00C46736"/>
    <w:rsid w:val="00C477DF"/>
    <w:rsid w:val="00C50E56"/>
    <w:rsid w:val="00C50EBB"/>
    <w:rsid w:val="00C511BF"/>
    <w:rsid w:val="00C52166"/>
    <w:rsid w:val="00C5277E"/>
    <w:rsid w:val="00C55F3B"/>
    <w:rsid w:val="00C57F9D"/>
    <w:rsid w:val="00C610BA"/>
    <w:rsid w:val="00C73397"/>
    <w:rsid w:val="00C76886"/>
    <w:rsid w:val="00C77ABF"/>
    <w:rsid w:val="00C77F45"/>
    <w:rsid w:val="00C80557"/>
    <w:rsid w:val="00C81CCA"/>
    <w:rsid w:val="00C840D1"/>
    <w:rsid w:val="00C85078"/>
    <w:rsid w:val="00C8512C"/>
    <w:rsid w:val="00C8675A"/>
    <w:rsid w:val="00C869FC"/>
    <w:rsid w:val="00C9040C"/>
    <w:rsid w:val="00C90790"/>
    <w:rsid w:val="00C9135B"/>
    <w:rsid w:val="00C922C2"/>
    <w:rsid w:val="00C92DC6"/>
    <w:rsid w:val="00C9364B"/>
    <w:rsid w:val="00C94C5D"/>
    <w:rsid w:val="00C95165"/>
    <w:rsid w:val="00C964C9"/>
    <w:rsid w:val="00CA088E"/>
    <w:rsid w:val="00CA1302"/>
    <w:rsid w:val="00CA1383"/>
    <w:rsid w:val="00CA1F9E"/>
    <w:rsid w:val="00CA2273"/>
    <w:rsid w:val="00CA366F"/>
    <w:rsid w:val="00CA376F"/>
    <w:rsid w:val="00CA42F2"/>
    <w:rsid w:val="00CA56D6"/>
    <w:rsid w:val="00CA597A"/>
    <w:rsid w:val="00CA66FA"/>
    <w:rsid w:val="00CA797A"/>
    <w:rsid w:val="00CA7EA0"/>
    <w:rsid w:val="00CB0525"/>
    <w:rsid w:val="00CB137E"/>
    <w:rsid w:val="00CB281F"/>
    <w:rsid w:val="00CB3EA3"/>
    <w:rsid w:val="00CB4DAC"/>
    <w:rsid w:val="00CB5344"/>
    <w:rsid w:val="00CB6A9C"/>
    <w:rsid w:val="00CB6F03"/>
    <w:rsid w:val="00CC2E4C"/>
    <w:rsid w:val="00CC7AF8"/>
    <w:rsid w:val="00CD000E"/>
    <w:rsid w:val="00CD0603"/>
    <w:rsid w:val="00CD1CEC"/>
    <w:rsid w:val="00CD20E7"/>
    <w:rsid w:val="00CD2165"/>
    <w:rsid w:val="00CD31C7"/>
    <w:rsid w:val="00CD4505"/>
    <w:rsid w:val="00CD5274"/>
    <w:rsid w:val="00CD5FBA"/>
    <w:rsid w:val="00CD783C"/>
    <w:rsid w:val="00CE059B"/>
    <w:rsid w:val="00CE0C85"/>
    <w:rsid w:val="00CE1142"/>
    <w:rsid w:val="00CE12D4"/>
    <w:rsid w:val="00CE1E93"/>
    <w:rsid w:val="00CE2959"/>
    <w:rsid w:val="00CE4B8F"/>
    <w:rsid w:val="00CE528F"/>
    <w:rsid w:val="00CE552E"/>
    <w:rsid w:val="00CE7245"/>
    <w:rsid w:val="00CE745F"/>
    <w:rsid w:val="00CF1213"/>
    <w:rsid w:val="00CF1D4A"/>
    <w:rsid w:val="00CF2F4B"/>
    <w:rsid w:val="00CF3DEE"/>
    <w:rsid w:val="00CF4D92"/>
    <w:rsid w:val="00CF5D6D"/>
    <w:rsid w:val="00CF5EC6"/>
    <w:rsid w:val="00CF64C5"/>
    <w:rsid w:val="00CF6EC1"/>
    <w:rsid w:val="00CF7F39"/>
    <w:rsid w:val="00D00158"/>
    <w:rsid w:val="00D0029D"/>
    <w:rsid w:val="00D0063A"/>
    <w:rsid w:val="00D009CE"/>
    <w:rsid w:val="00D03B13"/>
    <w:rsid w:val="00D04481"/>
    <w:rsid w:val="00D0495B"/>
    <w:rsid w:val="00D0495D"/>
    <w:rsid w:val="00D0531F"/>
    <w:rsid w:val="00D05E7C"/>
    <w:rsid w:val="00D0778B"/>
    <w:rsid w:val="00D10077"/>
    <w:rsid w:val="00D1059B"/>
    <w:rsid w:val="00D11F50"/>
    <w:rsid w:val="00D13194"/>
    <w:rsid w:val="00D13708"/>
    <w:rsid w:val="00D13D80"/>
    <w:rsid w:val="00D14552"/>
    <w:rsid w:val="00D14555"/>
    <w:rsid w:val="00D15A2F"/>
    <w:rsid w:val="00D16CAB"/>
    <w:rsid w:val="00D20046"/>
    <w:rsid w:val="00D202A2"/>
    <w:rsid w:val="00D20682"/>
    <w:rsid w:val="00D20FDF"/>
    <w:rsid w:val="00D23797"/>
    <w:rsid w:val="00D23DCF"/>
    <w:rsid w:val="00D24C46"/>
    <w:rsid w:val="00D2694C"/>
    <w:rsid w:val="00D271E5"/>
    <w:rsid w:val="00D31792"/>
    <w:rsid w:val="00D31DC3"/>
    <w:rsid w:val="00D322C1"/>
    <w:rsid w:val="00D340FB"/>
    <w:rsid w:val="00D350FA"/>
    <w:rsid w:val="00D3650B"/>
    <w:rsid w:val="00D3736D"/>
    <w:rsid w:val="00D37AC6"/>
    <w:rsid w:val="00D413D4"/>
    <w:rsid w:val="00D4224F"/>
    <w:rsid w:val="00D4387E"/>
    <w:rsid w:val="00D457F9"/>
    <w:rsid w:val="00D46332"/>
    <w:rsid w:val="00D46585"/>
    <w:rsid w:val="00D532D4"/>
    <w:rsid w:val="00D53E33"/>
    <w:rsid w:val="00D547FA"/>
    <w:rsid w:val="00D550ED"/>
    <w:rsid w:val="00D55C14"/>
    <w:rsid w:val="00D57130"/>
    <w:rsid w:val="00D57C7A"/>
    <w:rsid w:val="00D57EE6"/>
    <w:rsid w:val="00D60F84"/>
    <w:rsid w:val="00D63503"/>
    <w:rsid w:val="00D646A5"/>
    <w:rsid w:val="00D66290"/>
    <w:rsid w:val="00D66F68"/>
    <w:rsid w:val="00D67595"/>
    <w:rsid w:val="00D7028A"/>
    <w:rsid w:val="00D70802"/>
    <w:rsid w:val="00D71171"/>
    <w:rsid w:val="00D7202D"/>
    <w:rsid w:val="00D72FEF"/>
    <w:rsid w:val="00D758AC"/>
    <w:rsid w:val="00D76350"/>
    <w:rsid w:val="00D76446"/>
    <w:rsid w:val="00D76689"/>
    <w:rsid w:val="00D76953"/>
    <w:rsid w:val="00D76960"/>
    <w:rsid w:val="00D8072E"/>
    <w:rsid w:val="00D80A71"/>
    <w:rsid w:val="00D80C75"/>
    <w:rsid w:val="00D80EB7"/>
    <w:rsid w:val="00D81C60"/>
    <w:rsid w:val="00D823F2"/>
    <w:rsid w:val="00D82F79"/>
    <w:rsid w:val="00D83424"/>
    <w:rsid w:val="00D84BDF"/>
    <w:rsid w:val="00D8506A"/>
    <w:rsid w:val="00D864D8"/>
    <w:rsid w:val="00D90253"/>
    <w:rsid w:val="00D90E5B"/>
    <w:rsid w:val="00D9134B"/>
    <w:rsid w:val="00D9159E"/>
    <w:rsid w:val="00D918FC"/>
    <w:rsid w:val="00D93C76"/>
    <w:rsid w:val="00D9411E"/>
    <w:rsid w:val="00D963CD"/>
    <w:rsid w:val="00D96975"/>
    <w:rsid w:val="00D96A10"/>
    <w:rsid w:val="00D975E6"/>
    <w:rsid w:val="00D97CCE"/>
    <w:rsid w:val="00DA0731"/>
    <w:rsid w:val="00DA0C6F"/>
    <w:rsid w:val="00DA1E83"/>
    <w:rsid w:val="00DA3ED8"/>
    <w:rsid w:val="00DB06C0"/>
    <w:rsid w:val="00DB1F0C"/>
    <w:rsid w:val="00DB295A"/>
    <w:rsid w:val="00DB4167"/>
    <w:rsid w:val="00DB4509"/>
    <w:rsid w:val="00DB4CB9"/>
    <w:rsid w:val="00DB4DB9"/>
    <w:rsid w:val="00DB73E0"/>
    <w:rsid w:val="00DB78FE"/>
    <w:rsid w:val="00DB7B50"/>
    <w:rsid w:val="00DC15B6"/>
    <w:rsid w:val="00DC2D5C"/>
    <w:rsid w:val="00DC3813"/>
    <w:rsid w:val="00DC70E8"/>
    <w:rsid w:val="00DD0CBB"/>
    <w:rsid w:val="00DD0E98"/>
    <w:rsid w:val="00DD11A4"/>
    <w:rsid w:val="00DD34BF"/>
    <w:rsid w:val="00DD54EC"/>
    <w:rsid w:val="00DD5658"/>
    <w:rsid w:val="00DD618B"/>
    <w:rsid w:val="00DD6CC1"/>
    <w:rsid w:val="00DD7ECC"/>
    <w:rsid w:val="00DE0203"/>
    <w:rsid w:val="00DE40A5"/>
    <w:rsid w:val="00DE460D"/>
    <w:rsid w:val="00DE4EA2"/>
    <w:rsid w:val="00DE57A9"/>
    <w:rsid w:val="00DE5900"/>
    <w:rsid w:val="00DE5CA5"/>
    <w:rsid w:val="00DE6907"/>
    <w:rsid w:val="00DE7C74"/>
    <w:rsid w:val="00DF0292"/>
    <w:rsid w:val="00DF0B26"/>
    <w:rsid w:val="00DF22C0"/>
    <w:rsid w:val="00DF28B6"/>
    <w:rsid w:val="00DF30FD"/>
    <w:rsid w:val="00DF47E6"/>
    <w:rsid w:val="00DF5145"/>
    <w:rsid w:val="00DF6348"/>
    <w:rsid w:val="00DF7E48"/>
    <w:rsid w:val="00E01893"/>
    <w:rsid w:val="00E01D13"/>
    <w:rsid w:val="00E0291F"/>
    <w:rsid w:val="00E02E71"/>
    <w:rsid w:val="00E0365F"/>
    <w:rsid w:val="00E03918"/>
    <w:rsid w:val="00E03C01"/>
    <w:rsid w:val="00E03D35"/>
    <w:rsid w:val="00E03D91"/>
    <w:rsid w:val="00E076A6"/>
    <w:rsid w:val="00E07E12"/>
    <w:rsid w:val="00E10AA7"/>
    <w:rsid w:val="00E11788"/>
    <w:rsid w:val="00E13052"/>
    <w:rsid w:val="00E13351"/>
    <w:rsid w:val="00E1477B"/>
    <w:rsid w:val="00E1524C"/>
    <w:rsid w:val="00E16D49"/>
    <w:rsid w:val="00E17827"/>
    <w:rsid w:val="00E17858"/>
    <w:rsid w:val="00E21DDF"/>
    <w:rsid w:val="00E22DA1"/>
    <w:rsid w:val="00E24598"/>
    <w:rsid w:val="00E25C03"/>
    <w:rsid w:val="00E25D2B"/>
    <w:rsid w:val="00E27923"/>
    <w:rsid w:val="00E30664"/>
    <w:rsid w:val="00E31BB3"/>
    <w:rsid w:val="00E31F82"/>
    <w:rsid w:val="00E32CB6"/>
    <w:rsid w:val="00E33291"/>
    <w:rsid w:val="00E33CCB"/>
    <w:rsid w:val="00E33FE2"/>
    <w:rsid w:val="00E34241"/>
    <w:rsid w:val="00E34397"/>
    <w:rsid w:val="00E35586"/>
    <w:rsid w:val="00E4109E"/>
    <w:rsid w:val="00E42812"/>
    <w:rsid w:val="00E4464C"/>
    <w:rsid w:val="00E446D3"/>
    <w:rsid w:val="00E44C2F"/>
    <w:rsid w:val="00E44D0A"/>
    <w:rsid w:val="00E46B5E"/>
    <w:rsid w:val="00E476B4"/>
    <w:rsid w:val="00E47E19"/>
    <w:rsid w:val="00E50F89"/>
    <w:rsid w:val="00E527B5"/>
    <w:rsid w:val="00E529C9"/>
    <w:rsid w:val="00E5449A"/>
    <w:rsid w:val="00E54ADA"/>
    <w:rsid w:val="00E5572D"/>
    <w:rsid w:val="00E5671C"/>
    <w:rsid w:val="00E5786E"/>
    <w:rsid w:val="00E61414"/>
    <w:rsid w:val="00E6254B"/>
    <w:rsid w:val="00E641F6"/>
    <w:rsid w:val="00E656AE"/>
    <w:rsid w:val="00E660F8"/>
    <w:rsid w:val="00E66894"/>
    <w:rsid w:val="00E6782D"/>
    <w:rsid w:val="00E70882"/>
    <w:rsid w:val="00E70A8F"/>
    <w:rsid w:val="00E71114"/>
    <w:rsid w:val="00E7158C"/>
    <w:rsid w:val="00E72E9C"/>
    <w:rsid w:val="00E74FB8"/>
    <w:rsid w:val="00E8004E"/>
    <w:rsid w:val="00E8044D"/>
    <w:rsid w:val="00E80A3B"/>
    <w:rsid w:val="00E8181B"/>
    <w:rsid w:val="00E827F0"/>
    <w:rsid w:val="00E831DA"/>
    <w:rsid w:val="00E8349C"/>
    <w:rsid w:val="00E858C5"/>
    <w:rsid w:val="00E85DEC"/>
    <w:rsid w:val="00E86DC2"/>
    <w:rsid w:val="00E87771"/>
    <w:rsid w:val="00E87F22"/>
    <w:rsid w:val="00E9009E"/>
    <w:rsid w:val="00E91867"/>
    <w:rsid w:val="00E91EDA"/>
    <w:rsid w:val="00E92A9F"/>
    <w:rsid w:val="00E93299"/>
    <w:rsid w:val="00E9422C"/>
    <w:rsid w:val="00E94980"/>
    <w:rsid w:val="00E97154"/>
    <w:rsid w:val="00E9715F"/>
    <w:rsid w:val="00E97409"/>
    <w:rsid w:val="00E9755A"/>
    <w:rsid w:val="00EA0863"/>
    <w:rsid w:val="00EA273F"/>
    <w:rsid w:val="00EA4673"/>
    <w:rsid w:val="00EA4B1F"/>
    <w:rsid w:val="00EA4FE6"/>
    <w:rsid w:val="00EA672F"/>
    <w:rsid w:val="00EA67B4"/>
    <w:rsid w:val="00EB16F2"/>
    <w:rsid w:val="00EB1AAE"/>
    <w:rsid w:val="00EB6061"/>
    <w:rsid w:val="00EC0406"/>
    <w:rsid w:val="00EC0FD6"/>
    <w:rsid w:val="00EC1772"/>
    <w:rsid w:val="00EC4F21"/>
    <w:rsid w:val="00EC5584"/>
    <w:rsid w:val="00EC657D"/>
    <w:rsid w:val="00EC6629"/>
    <w:rsid w:val="00EC755C"/>
    <w:rsid w:val="00EC7814"/>
    <w:rsid w:val="00ED095E"/>
    <w:rsid w:val="00ED19D1"/>
    <w:rsid w:val="00ED2051"/>
    <w:rsid w:val="00ED3DB9"/>
    <w:rsid w:val="00ED5B18"/>
    <w:rsid w:val="00ED620E"/>
    <w:rsid w:val="00ED6F6D"/>
    <w:rsid w:val="00ED7365"/>
    <w:rsid w:val="00EE0B8D"/>
    <w:rsid w:val="00EE0E1D"/>
    <w:rsid w:val="00EE1425"/>
    <w:rsid w:val="00EE2363"/>
    <w:rsid w:val="00EE610B"/>
    <w:rsid w:val="00EE6A6B"/>
    <w:rsid w:val="00EF00F3"/>
    <w:rsid w:val="00EF0353"/>
    <w:rsid w:val="00EF0A35"/>
    <w:rsid w:val="00EF0BED"/>
    <w:rsid w:val="00EF299C"/>
    <w:rsid w:val="00EF2EEC"/>
    <w:rsid w:val="00EF392D"/>
    <w:rsid w:val="00EF3A21"/>
    <w:rsid w:val="00EF4550"/>
    <w:rsid w:val="00EF5C5B"/>
    <w:rsid w:val="00EF6204"/>
    <w:rsid w:val="00EF672A"/>
    <w:rsid w:val="00EF72B8"/>
    <w:rsid w:val="00EF75F8"/>
    <w:rsid w:val="00F00463"/>
    <w:rsid w:val="00F00720"/>
    <w:rsid w:val="00F0072D"/>
    <w:rsid w:val="00F00785"/>
    <w:rsid w:val="00F007CF"/>
    <w:rsid w:val="00F00DA7"/>
    <w:rsid w:val="00F01315"/>
    <w:rsid w:val="00F05975"/>
    <w:rsid w:val="00F0729E"/>
    <w:rsid w:val="00F10CF4"/>
    <w:rsid w:val="00F11495"/>
    <w:rsid w:val="00F122C5"/>
    <w:rsid w:val="00F122FA"/>
    <w:rsid w:val="00F134DB"/>
    <w:rsid w:val="00F137F8"/>
    <w:rsid w:val="00F13F0B"/>
    <w:rsid w:val="00F15550"/>
    <w:rsid w:val="00F177C5"/>
    <w:rsid w:val="00F20F6E"/>
    <w:rsid w:val="00F2220B"/>
    <w:rsid w:val="00F22F32"/>
    <w:rsid w:val="00F233BE"/>
    <w:rsid w:val="00F23908"/>
    <w:rsid w:val="00F23D06"/>
    <w:rsid w:val="00F241AF"/>
    <w:rsid w:val="00F252B5"/>
    <w:rsid w:val="00F2539C"/>
    <w:rsid w:val="00F278DD"/>
    <w:rsid w:val="00F27C94"/>
    <w:rsid w:val="00F27CC6"/>
    <w:rsid w:val="00F30089"/>
    <w:rsid w:val="00F309DE"/>
    <w:rsid w:val="00F31234"/>
    <w:rsid w:val="00F333C4"/>
    <w:rsid w:val="00F344AD"/>
    <w:rsid w:val="00F34542"/>
    <w:rsid w:val="00F36D33"/>
    <w:rsid w:val="00F37896"/>
    <w:rsid w:val="00F41479"/>
    <w:rsid w:val="00F41EC9"/>
    <w:rsid w:val="00F429BE"/>
    <w:rsid w:val="00F42BC5"/>
    <w:rsid w:val="00F44F08"/>
    <w:rsid w:val="00F4525C"/>
    <w:rsid w:val="00F4652F"/>
    <w:rsid w:val="00F503BA"/>
    <w:rsid w:val="00F504CB"/>
    <w:rsid w:val="00F507CB"/>
    <w:rsid w:val="00F51C2B"/>
    <w:rsid w:val="00F51EB8"/>
    <w:rsid w:val="00F5387B"/>
    <w:rsid w:val="00F54011"/>
    <w:rsid w:val="00F5412B"/>
    <w:rsid w:val="00F54855"/>
    <w:rsid w:val="00F54927"/>
    <w:rsid w:val="00F55220"/>
    <w:rsid w:val="00F55EE8"/>
    <w:rsid w:val="00F56223"/>
    <w:rsid w:val="00F61203"/>
    <w:rsid w:val="00F619FA"/>
    <w:rsid w:val="00F6285E"/>
    <w:rsid w:val="00F628AE"/>
    <w:rsid w:val="00F6295E"/>
    <w:rsid w:val="00F62A86"/>
    <w:rsid w:val="00F63A65"/>
    <w:rsid w:val="00F64746"/>
    <w:rsid w:val="00F64C06"/>
    <w:rsid w:val="00F65B72"/>
    <w:rsid w:val="00F67288"/>
    <w:rsid w:val="00F67912"/>
    <w:rsid w:val="00F67974"/>
    <w:rsid w:val="00F7009E"/>
    <w:rsid w:val="00F705B2"/>
    <w:rsid w:val="00F71549"/>
    <w:rsid w:val="00F71633"/>
    <w:rsid w:val="00F71C6E"/>
    <w:rsid w:val="00F75CFF"/>
    <w:rsid w:val="00F7755E"/>
    <w:rsid w:val="00F803BC"/>
    <w:rsid w:val="00F82338"/>
    <w:rsid w:val="00F83950"/>
    <w:rsid w:val="00F83D59"/>
    <w:rsid w:val="00F84D5E"/>
    <w:rsid w:val="00F854C9"/>
    <w:rsid w:val="00F86537"/>
    <w:rsid w:val="00F8675B"/>
    <w:rsid w:val="00F86A14"/>
    <w:rsid w:val="00F86AED"/>
    <w:rsid w:val="00F90380"/>
    <w:rsid w:val="00F91DC2"/>
    <w:rsid w:val="00F91DE0"/>
    <w:rsid w:val="00F93201"/>
    <w:rsid w:val="00F966CF"/>
    <w:rsid w:val="00F96F4F"/>
    <w:rsid w:val="00F970B9"/>
    <w:rsid w:val="00F9725C"/>
    <w:rsid w:val="00F97702"/>
    <w:rsid w:val="00FA050B"/>
    <w:rsid w:val="00FA0663"/>
    <w:rsid w:val="00FA0677"/>
    <w:rsid w:val="00FA1223"/>
    <w:rsid w:val="00FA1735"/>
    <w:rsid w:val="00FA2E23"/>
    <w:rsid w:val="00FA330B"/>
    <w:rsid w:val="00FA3794"/>
    <w:rsid w:val="00FA53DC"/>
    <w:rsid w:val="00FA56BD"/>
    <w:rsid w:val="00FA5CE9"/>
    <w:rsid w:val="00FA6572"/>
    <w:rsid w:val="00FA730B"/>
    <w:rsid w:val="00FA7339"/>
    <w:rsid w:val="00FB0352"/>
    <w:rsid w:val="00FB16F1"/>
    <w:rsid w:val="00FB3CEE"/>
    <w:rsid w:val="00FB44D4"/>
    <w:rsid w:val="00FB4659"/>
    <w:rsid w:val="00FB5C70"/>
    <w:rsid w:val="00FB6F7B"/>
    <w:rsid w:val="00FB7A3A"/>
    <w:rsid w:val="00FB7EFC"/>
    <w:rsid w:val="00FC151E"/>
    <w:rsid w:val="00FC2F36"/>
    <w:rsid w:val="00FC3556"/>
    <w:rsid w:val="00FC3FCA"/>
    <w:rsid w:val="00FC4320"/>
    <w:rsid w:val="00FC53DB"/>
    <w:rsid w:val="00FC5F51"/>
    <w:rsid w:val="00FC6014"/>
    <w:rsid w:val="00FC60FC"/>
    <w:rsid w:val="00FD013C"/>
    <w:rsid w:val="00FD0408"/>
    <w:rsid w:val="00FD15D1"/>
    <w:rsid w:val="00FD2461"/>
    <w:rsid w:val="00FD2BBA"/>
    <w:rsid w:val="00FD6936"/>
    <w:rsid w:val="00FE274A"/>
    <w:rsid w:val="00FE2C33"/>
    <w:rsid w:val="00FE3B26"/>
    <w:rsid w:val="00FE4D8A"/>
    <w:rsid w:val="00FE5118"/>
    <w:rsid w:val="00FE5CEA"/>
    <w:rsid w:val="00FE606F"/>
    <w:rsid w:val="00FE62B8"/>
    <w:rsid w:val="00FE75EC"/>
    <w:rsid w:val="00FF0247"/>
    <w:rsid w:val="00FF27F5"/>
    <w:rsid w:val="00FF29D4"/>
    <w:rsid w:val="00FF4737"/>
    <w:rsid w:val="00FF48AB"/>
    <w:rsid w:val="00FF588A"/>
    <w:rsid w:val="00FF5D73"/>
    <w:rsid w:val="00FF6CBC"/>
    <w:rsid w:val="00FF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936C5"/>
  <w15:docId w15:val="{1FA12806-7070-A74A-AE0A-9C327C92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9A"/>
    <w:pPr>
      <w:widowControl/>
      <w:autoSpaceDE/>
      <w:autoSpaceDN/>
    </w:pPr>
    <w:rPr>
      <w:rFonts w:ascii="Times New Roman" w:eastAsia="Times New Roman" w:hAnsi="Times New Roman" w:cs="Times New Roman"/>
      <w:sz w:val="24"/>
      <w:szCs w:val="24"/>
      <w:lang w:val="en-CA"/>
    </w:rPr>
  </w:style>
  <w:style w:type="paragraph" w:styleId="Heading1">
    <w:name w:val="heading 1"/>
    <w:basedOn w:val="Normal"/>
    <w:link w:val="Heading1Char"/>
    <w:uiPriority w:val="9"/>
    <w:qFormat/>
    <w:pPr>
      <w:spacing w:before="211"/>
      <w:ind w:left="1332" w:right="1313"/>
      <w:jc w:val="center"/>
      <w:outlineLvl w:val="0"/>
    </w:pPr>
    <w:rPr>
      <w:b/>
      <w:bCs/>
    </w:rPr>
  </w:style>
  <w:style w:type="paragraph" w:styleId="Heading2">
    <w:name w:val="heading 2"/>
    <w:basedOn w:val="Normal"/>
    <w:link w:val="Heading2Char"/>
    <w:uiPriority w:val="9"/>
    <w:unhideWhenUsed/>
    <w:qFormat/>
    <w:pPr>
      <w:spacing w:before="2"/>
      <w:ind w:left="996"/>
      <w:jc w:val="center"/>
      <w:outlineLvl w:val="1"/>
    </w:pPr>
    <w:rPr>
      <w:sz w:val="20"/>
      <w:szCs w:val="20"/>
    </w:rPr>
  </w:style>
  <w:style w:type="paragraph" w:styleId="Heading3">
    <w:name w:val="heading 3"/>
    <w:basedOn w:val="Normal"/>
    <w:uiPriority w:val="9"/>
    <w:unhideWhenUsed/>
    <w:qFormat/>
    <w:pPr>
      <w:ind w:left="1001" w:hanging="202"/>
      <w:outlineLvl w:val="2"/>
    </w:pPr>
    <w:rPr>
      <w:b/>
      <w:bCs/>
      <w:sz w:val="18"/>
      <w:szCs w:val="18"/>
    </w:rPr>
  </w:style>
  <w:style w:type="paragraph" w:styleId="Heading4">
    <w:name w:val="heading 4"/>
    <w:basedOn w:val="Normal"/>
    <w:uiPriority w:val="9"/>
    <w:unhideWhenUsed/>
    <w:qFormat/>
    <w:pPr>
      <w:ind w:left="944" w:right="700"/>
      <w:outlineLvl w:val="3"/>
    </w:pPr>
    <w:rPr>
      <w:sz w:val="18"/>
      <w:szCs w:val="18"/>
    </w:rPr>
  </w:style>
  <w:style w:type="paragraph" w:styleId="Heading5">
    <w:name w:val="heading 5"/>
    <w:basedOn w:val="Normal"/>
    <w:uiPriority w:val="9"/>
    <w:unhideWhenUsed/>
    <w:qFormat/>
    <w:pPr>
      <w:ind w:left="800"/>
      <w:outlineLvl w:val="4"/>
    </w:pPr>
    <w:rPr>
      <w:b/>
      <w:bCs/>
      <w:sz w:val="16"/>
      <w:szCs w:val="16"/>
    </w:rPr>
  </w:style>
  <w:style w:type="paragraph" w:styleId="Heading6">
    <w:name w:val="heading 6"/>
    <w:basedOn w:val="Normal"/>
    <w:uiPriority w:val="9"/>
    <w:unhideWhenUsed/>
    <w:qFormat/>
    <w:pPr>
      <w:ind w:left="800"/>
      <w:outlineLvl w:val="5"/>
    </w:pPr>
    <w:rPr>
      <w:b/>
      <w:bCs/>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1232" w:hanging="202"/>
    </w:pPr>
  </w:style>
  <w:style w:type="paragraph" w:customStyle="1" w:styleId="TableParagraph">
    <w:name w:val="Table Paragraph"/>
    <w:basedOn w:val="Normal"/>
    <w:uiPriority w:val="1"/>
    <w:qFormat/>
    <w:pPr>
      <w:spacing w:line="165" w:lineRule="exact"/>
      <w:jc w:val="right"/>
    </w:pPr>
  </w:style>
  <w:style w:type="paragraph" w:styleId="Header">
    <w:name w:val="header"/>
    <w:basedOn w:val="Normal"/>
    <w:link w:val="HeaderChar"/>
    <w:uiPriority w:val="99"/>
    <w:unhideWhenUsed/>
    <w:rsid w:val="00AE3BD2"/>
    <w:pPr>
      <w:tabs>
        <w:tab w:val="center" w:pos="4680"/>
        <w:tab w:val="right" w:pos="9360"/>
      </w:tabs>
    </w:pPr>
  </w:style>
  <w:style w:type="character" w:customStyle="1" w:styleId="HeaderChar">
    <w:name w:val="Header Char"/>
    <w:basedOn w:val="DefaultParagraphFont"/>
    <w:link w:val="Header"/>
    <w:uiPriority w:val="99"/>
    <w:rsid w:val="00AE3BD2"/>
    <w:rPr>
      <w:rFonts w:ascii="Arial" w:eastAsia="Arial" w:hAnsi="Arial" w:cs="Arial"/>
    </w:rPr>
  </w:style>
  <w:style w:type="paragraph" w:styleId="Footer">
    <w:name w:val="footer"/>
    <w:basedOn w:val="Normal"/>
    <w:link w:val="FooterChar"/>
    <w:uiPriority w:val="99"/>
    <w:unhideWhenUsed/>
    <w:rsid w:val="00AE3BD2"/>
    <w:pPr>
      <w:tabs>
        <w:tab w:val="center" w:pos="4680"/>
        <w:tab w:val="right" w:pos="9360"/>
      </w:tabs>
    </w:pPr>
  </w:style>
  <w:style w:type="character" w:customStyle="1" w:styleId="FooterChar">
    <w:name w:val="Footer Char"/>
    <w:basedOn w:val="DefaultParagraphFont"/>
    <w:link w:val="Footer"/>
    <w:uiPriority w:val="99"/>
    <w:rsid w:val="00AE3BD2"/>
    <w:rPr>
      <w:rFonts w:ascii="Arial" w:eastAsia="Arial" w:hAnsi="Arial" w:cs="Arial"/>
    </w:rPr>
  </w:style>
  <w:style w:type="paragraph" w:styleId="BalloonText">
    <w:name w:val="Balloon Text"/>
    <w:basedOn w:val="Normal"/>
    <w:link w:val="BalloonTextChar"/>
    <w:uiPriority w:val="99"/>
    <w:semiHidden/>
    <w:unhideWhenUsed/>
    <w:rsid w:val="00860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434"/>
    <w:rPr>
      <w:rFonts w:ascii="Segoe UI" w:eastAsia="Arial" w:hAnsi="Segoe UI" w:cs="Segoe UI"/>
      <w:sz w:val="18"/>
      <w:szCs w:val="18"/>
    </w:rPr>
  </w:style>
  <w:style w:type="character" w:customStyle="1" w:styleId="BodyTextChar">
    <w:name w:val="Body Text Char"/>
    <w:basedOn w:val="DefaultParagraphFont"/>
    <w:link w:val="BodyText"/>
    <w:uiPriority w:val="1"/>
    <w:rsid w:val="00A052FC"/>
    <w:rPr>
      <w:rFonts w:ascii="Arial" w:eastAsia="Arial" w:hAnsi="Arial" w:cs="Arial"/>
      <w:sz w:val="16"/>
      <w:szCs w:val="16"/>
    </w:rPr>
  </w:style>
  <w:style w:type="character" w:styleId="CommentReference">
    <w:name w:val="annotation reference"/>
    <w:basedOn w:val="DefaultParagraphFont"/>
    <w:uiPriority w:val="99"/>
    <w:semiHidden/>
    <w:unhideWhenUsed/>
    <w:rsid w:val="002F247F"/>
    <w:rPr>
      <w:sz w:val="16"/>
      <w:szCs w:val="16"/>
    </w:rPr>
  </w:style>
  <w:style w:type="paragraph" w:styleId="CommentText">
    <w:name w:val="annotation text"/>
    <w:basedOn w:val="Normal"/>
    <w:link w:val="CommentTextChar"/>
    <w:uiPriority w:val="99"/>
    <w:unhideWhenUsed/>
    <w:rsid w:val="002F247F"/>
    <w:rPr>
      <w:sz w:val="20"/>
      <w:szCs w:val="20"/>
    </w:rPr>
  </w:style>
  <w:style w:type="character" w:customStyle="1" w:styleId="CommentTextChar">
    <w:name w:val="Comment Text Char"/>
    <w:basedOn w:val="DefaultParagraphFont"/>
    <w:link w:val="CommentText"/>
    <w:uiPriority w:val="99"/>
    <w:rsid w:val="002F247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F247F"/>
    <w:rPr>
      <w:b/>
      <w:bCs/>
    </w:rPr>
  </w:style>
  <w:style w:type="character" w:customStyle="1" w:styleId="CommentSubjectChar">
    <w:name w:val="Comment Subject Char"/>
    <w:basedOn w:val="CommentTextChar"/>
    <w:link w:val="CommentSubject"/>
    <w:uiPriority w:val="99"/>
    <w:semiHidden/>
    <w:rsid w:val="002F247F"/>
    <w:rPr>
      <w:rFonts w:ascii="Arial" w:eastAsia="Arial" w:hAnsi="Arial" w:cs="Arial"/>
      <w:b/>
      <w:bCs/>
      <w:sz w:val="20"/>
      <w:szCs w:val="20"/>
    </w:rPr>
  </w:style>
  <w:style w:type="table" w:styleId="TableGrid">
    <w:name w:val="Table Grid"/>
    <w:basedOn w:val="TableNormal"/>
    <w:uiPriority w:val="39"/>
    <w:rsid w:val="0077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1223"/>
    <w:pPr>
      <w:widowControl/>
      <w:autoSpaceDE/>
      <w:autoSpaceDN/>
    </w:pPr>
    <w:rPr>
      <w:rFonts w:ascii="Arial" w:eastAsia="Arial" w:hAnsi="Arial" w:cs="Arial"/>
    </w:rPr>
  </w:style>
  <w:style w:type="character" w:customStyle="1" w:styleId="Heading1Char">
    <w:name w:val="Heading 1 Char"/>
    <w:basedOn w:val="DefaultParagraphFont"/>
    <w:link w:val="Heading1"/>
    <w:uiPriority w:val="9"/>
    <w:rsid w:val="001A1D15"/>
    <w:rPr>
      <w:rFonts w:ascii="Arial" w:eastAsia="Arial" w:hAnsi="Arial" w:cs="Arial"/>
      <w:b/>
      <w:bCs/>
      <w:sz w:val="24"/>
      <w:szCs w:val="24"/>
    </w:rPr>
  </w:style>
  <w:style w:type="character" w:customStyle="1" w:styleId="Heading2Char">
    <w:name w:val="Heading 2 Char"/>
    <w:basedOn w:val="DefaultParagraphFont"/>
    <w:link w:val="Heading2"/>
    <w:uiPriority w:val="9"/>
    <w:rsid w:val="001A1D15"/>
    <w:rPr>
      <w:rFonts w:ascii="Arial" w:eastAsia="Arial" w:hAnsi="Arial" w:cs="Arial"/>
      <w:sz w:val="20"/>
      <w:szCs w:val="20"/>
    </w:rPr>
  </w:style>
  <w:style w:type="character" w:customStyle="1" w:styleId="xn-location">
    <w:name w:val="xn-location"/>
    <w:basedOn w:val="DefaultParagraphFont"/>
    <w:rsid w:val="00B50FD7"/>
  </w:style>
  <w:style w:type="character" w:customStyle="1" w:styleId="xn-chron">
    <w:name w:val="xn-chron"/>
    <w:basedOn w:val="DefaultParagraphFont"/>
    <w:rsid w:val="00B50FD7"/>
  </w:style>
  <w:style w:type="character" w:styleId="Hyperlink">
    <w:name w:val="Hyperlink"/>
    <w:basedOn w:val="DefaultParagraphFont"/>
    <w:uiPriority w:val="99"/>
    <w:semiHidden/>
    <w:unhideWhenUsed/>
    <w:rsid w:val="00490A91"/>
    <w:rPr>
      <w:color w:val="0000FF"/>
      <w:u w:val="single"/>
    </w:rPr>
  </w:style>
  <w:style w:type="paragraph" w:customStyle="1" w:styleId="Default">
    <w:name w:val="Default"/>
    <w:rsid w:val="00C131D9"/>
    <w:pPr>
      <w:widowControl/>
      <w:adjustRightInd w:val="0"/>
    </w:pPr>
    <w:rPr>
      <w:rFonts w:ascii="Arial" w:hAnsi="Arial" w:cs="Arial"/>
      <w:color w:val="000000"/>
      <w:sz w:val="24"/>
      <w:szCs w:val="24"/>
      <w:lang w:val="en-CA"/>
    </w:rPr>
  </w:style>
  <w:style w:type="character" w:styleId="PageNumber">
    <w:name w:val="page number"/>
    <w:basedOn w:val="DefaultParagraphFont"/>
    <w:uiPriority w:val="99"/>
    <w:semiHidden/>
    <w:unhideWhenUsed/>
    <w:rsid w:val="00D16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8374">
      <w:bodyDiv w:val="1"/>
      <w:marLeft w:val="0"/>
      <w:marRight w:val="0"/>
      <w:marTop w:val="0"/>
      <w:marBottom w:val="0"/>
      <w:divBdr>
        <w:top w:val="none" w:sz="0" w:space="0" w:color="auto"/>
        <w:left w:val="none" w:sz="0" w:space="0" w:color="auto"/>
        <w:bottom w:val="none" w:sz="0" w:space="0" w:color="auto"/>
        <w:right w:val="none" w:sz="0" w:space="0" w:color="auto"/>
      </w:divBdr>
    </w:div>
    <w:div w:id="46689461">
      <w:bodyDiv w:val="1"/>
      <w:marLeft w:val="0"/>
      <w:marRight w:val="0"/>
      <w:marTop w:val="0"/>
      <w:marBottom w:val="0"/>
      <w:divBdr>
        <w:top w:val="none" w:sz="0" w:space="0" w:color="auto"/>
        <w:left w:val="none" w:sz="0" w:space="0" w:color="auto"/>
        <w:bottom w:val="none" w:sz="0" w:space="0" w:color="auto"/>
        <w:right w:val="none" w:sz="0" w:space="0" w:color="auto"/>
      </w:divBdr>
    </w:div>
    <w:div w:id="49696986">
      <w:bodyDiv w:val="1"/>
      <w:marLeft w:val="0"/>
      <w:marRight w:val="0"/>
      <w:marTop w:val="0"/>
      <w:marBottom w:val="0"/>
      <w:divBdr>
        <w:top w:val="none" w:sz="0" w:space="0" w:color="auto"/>
        <w:left w:val="none" w:sz="0" w:space="0" w:color="auto"/>
        <w:bottom w:val="none" w:sz="0" w:space="0" w:color="auto"/>
        <w:right w:val="none" w:sz="0" w:space="0" w:color="auto"/>
      </w:divBdr>
    </w:div>
    <w:div w:id="60567570">
      <w:bodyDiv w:val="1"/>
      <w:marLeft w:val="0"/>
      <w:marRight w:val="0"/>
      <w:marTop w:val="0"/>
      <w:marBottom w:val="0"/>
      <w:divBdr>
        <w:top w:val="none" w:sz="0" w:space="0" w:color="auto"/>
        <w:left w:val="none" w:sz="0" w:space="0" w:color="auto"/>
        <w:bottom w:val="none" w:sz="0" w:space="0" w:color="auto"/>
        <w:right w:val="none" w:sz="0" w:space="0" w:color="auto"/>
      </w:divBdr>
    </w:div>
    <w:div w:id="68117574">
      <w:bodyDiv w:val="1"/>
      <w:marLeft w:val="0"/>
      <w:marRight w:val="0"/>
      <w:marTop w:val="0"/>
      <w:marBottom w:val="0"/>
      <w:divBdr>
        <w:top w:val="none" w:sz="0" w:space="0" w:color="auto"/>
        <w:left w:val="none" w:sz="0" w:space="0" w:color="auto"/>
        <w:bottom w:val="none" w:sz="0" w:space="0" w:color="auto"/>
        <w:right w:val="none" w:sz="0" w:space="0" w:color="auto"/>
      </w:divBdr>
    </w:div>
    <w:div w:id="81264939">
      <w:bodyDiv w:val="1"/>
      <w:marLeft w:val="0"/>
      <w:marRight w:val="0"/>
      <w:marTop w:val="0"/>
      <w:marBottom w:val="0"/>
      <w:divBdr>
        <w:top w:val="none" w:sz="0" w:space="0" w:color="auto"/>
        <w:left w:val="none" w:sz="0" w:space="0" w:color="auto"/>
        <w:bottom w:val="none" w:sz="0" w:space="0" w:color="auto"/>
        <w:right w:val="none" w:sz="0" w:space="0" w:color="auto"/>
      </w:divBdr>
    </w:div>
    <w:div w:id="113208704">
      <w:bodyDiv w:val="1"/>
      <w:marLeft w:val="0"/>
      <w:marRight w:val="0"/>
      <w:marTop w:val="0"/>
      <w:marBottom w:val="0"/>
      <w:divBdr>
        <w:top w:val="none" w:sz="0" w:space="0" w:color="auto"/>
        <w:left w:val="none" w:sz="0" w:space="0" w:color="auto"/>
        <w:bottom w:val="none" w:sz="0" w:space="0" w:color="auto"/>
        <w:right w:val="none" w:sz="0" w:space="0" w:color="auto"/>
      </w:divBdr>
    </w:div>
    <w:div w:id="147408468">
      <w:bodyDiv w:val="1"/>
      <w:marLeft w:val="0"/>
      <w:marRight w:val="0"/>
      <w:marTop w:val="0"/>
      <w:marBottom w:val="0"/>
      <w:divBdr>
        <w:top w:val="none" w:sz="0" w:space="0" w:color="auto"/>
        <w:left w:val="none" w:sz="0" w:space="0" w:color="auto"/>
        <w:bottom w:val="none" w:sz="0" w:space="0" w:color="auto"/>
        <w:right w:val="none" w:sz="0" w:space="0" w:color="auto"/>
      </w:divBdr>
    </w:div>
    <w:div w:id="153374235">
      <w:bodyDiv w:val="1"/>
      <w:marLeft w:val="0"/>
      <w:marRight w:val="0"/>
      <w:marTop w:val="0"/>
      <w:marBottom w:val="0"/>
      <w:divBdr>
        <w:top w:val="none" w:sz="0" w:space="0" w:color="auto"/>
        <w:left w:val="none" w:sz="0" w:space="0" w:color="auto"/>
        <w:bottom w:val="none" w:sz="0" w:space="0" w:color="auto"/>
        <w:right w:val="none" w:sz="0" w:space="0" w:color="auto"/>
      </w:divBdr>
    </w:div>
    <w:div w:id="173620402">
      <w:bodyDiv w:val="1"/>
      <w:marLeft w:val="0"/>
      <w:marRight w:val="0"/>
      <w:marTop w:val="0"/>
      <w:marBottom w:val="0"/>
      <w:divBdr>
        <w:top w:val="none" w:sz="0" w:space="0" w:color="auto"/>
        <w:left w:val="none" w:sz="0" w:space="0" w:color="auto"/>
        <w:bottom w:val="none" w:sz="0" w:space="0" w:color="auto"/>
        <w:right w:val="none" w:sz="0" w:space="0" w:color="auto"/>
      </w:divBdr>
    </w:div>
    <w:div w:id="175005482">
      <w:bodyDiv w:val="1"/>
      <w:marLeft w:val="0"/>
      <w:marRight w:val="0"/>
      <w:marTop w:val="0"/>
      <w:marBottom w:val="0"/>
      <w:divBdr>
        <w:top w:val="none" w:sz="0" w:space="0" w:color="auto"/>
        <w:left w:val="none" w:sz="0" w:space="0" w:color="auto"/>
        <w:bottom w:val="none" w:sz="0" w:space="0" w:color="auto"/>
        <w:right w:val="none" w:sz="0" w:space="0" w:color="auto"/>
      </w:divBdr>
    </w:div>
    <w:div w:id="195124868">
      <w:bodyDiv w:val="1"/>
      <w:marLeft w:val="0"/>
      <w:marRight w:val="0"/>
      <w:marTop w:val="0"/>
      <w:marBottom w:val="0"/>
      <w:divBdr>
        <w:top w:val="none" w:sz="0" w:space="0" w:color="auto"/>
        <w:left w:val="none" w:sz="0" w:space="0" w:color="auto"/>
        <w:bottom w:val="none" w:sz="0" w:space="0" w:color="auto"/>
        <w:right w:val="none" w:sz="0" w:space="0" w:color="auto"/>
      </w:divBdr>
    </w:div>
    <w:div w:id="275410731">
      <w:bodyDiv w:val="1"/>
      <w:marLeft w:val="0"/>
      <w:marRight w:val="0"/>
      <w:marTop w:val="0"/>
      <w:marBottom w:val="0"/>
      <w:divBdr>
        <w:top w:val="none" w:sz="0" w:space="0" w:color="auto"/>
        <w:left w:val="none" w:sz="0" w:space="0" w:color="auto"/>
        <w:bottom w:val="none" w:sz="0" w:space="0" w:color="auto"/>
        <w:right w:val="none" w:sz="0" w:space="0" w:color="auto"/>
      </w:divBdr>
    </w:div>
    <w:div w:id="285550553">
      <w:bodyDiv w:val="1"/>
      <w:marLeft w:val="0"/>
      <w:marRight w:val="0"/>
      <w:marTop w:val="0"/>
      <w:marBottom w:val="0"/>
      <w:divBdr>
        <w:top w:val="none" w:sz="0" w:space="0" w:color="auto"/>
        <w:left w:val="none" w:sz="0" w:space="0" w:color="auto"/>
        <w:bottom w:val="none" w:sz="0" w:space="0" w:color="auto"/>
        <w:right w:val="none" w:sz="0" w:space="0" w:color="auto"/>
      </w:divBdr>
    </w:div>
    <w:div w:id="286931611">
      <w:bodyDiv w:val="1"/>
      <w:marLeft w:val="0"/>
      <w:marRight w:val="0"/>
      <w:marTop w:val="0"/>
      <w:marBottom w:val="0"/>
      <w:divBdr>
        <w:top w:val="none" w:sz="0" w:space="0" w:color="auto"/>
        <w:left w:val="none" w:sz="0" w:space="0" w:color="auto"/>
        <w:bottom w:val="none" w:sz="0" w:space="0" w:color="auto"/>
        <w:right w:val="none" w:sz="0" w:space="0" w:color="auto"/>
      </w:divBdr>
    </w:div>
    <w:div w:id="303198415">
      <w:bodyDiv w:val="1"/>
      <w:marLeft w:val="0"/>
      <w:marRight w:val="0"/>
      <w:marTop w:val="0"/>
      <w:marBottom w:val="0"/>
      <w:divBdr>
        <w:top w:val="none" w:sz="0" w:space="0" w:color="auto"/>
        <w:left w:val="none" w:sz="0" w:space="0" w:color="auto"/>
        <w:bottom w:val="none" w:sz="0" w:space="0" w:color="auto"/>
        <w:right w:val="none" w:sz="0" w:space="0" w:color="auto"/>
      </w:divBdr>
    </w:div>
    <w:div w:id="310017167">
      <w:bodyDiv w:val="1"/>
      <w:marLeft w:val="0"/>
      <w:marRight w:val="0"/>
      <w:marTop w:val="0"/>
      <w:marBottom w:val="0"/>
      <w:divBdr>
        <w:top w:val="none" w:sz="0" w:space="0" w:color="auto"/>
        <w:left w:val="none" w:sz="0" w:space="0" w:color="auto"/>
        <w:bottom w:val="none" w:sz="0" w:space="0" w:color="auto"/>
        <w:right w:val="none" w:sz="0" w:space="0" w:color="auto"/>
      </w:divBdr>
    </w:div>
    <w:div w:id="333267362">
      <w:bodyDiv w:val="1"/>
      <w:marLeft w:val="0"/>
      <w:marRight w:val="0"/>
      <w:marTop w:val="0"/>
      <w:marBottom w:val="0"/>
      <w:divBdr>
        <w:top w:val="none" w:sz="0" w:space="0" w:color="auto"/>
        <w:left w:val="none" w:sz="0" w:space="0" w:color="auto"/>
        <w:bottom w:val="none" w:sz="0" w:space="0" w:color="auto"/>
        <w:right w:val="none" w:sz="0" w:space="0" w:color="auto"/>
      </w:divBdr>
    </w:div>
    <w:div w:id="368266861">
      <w:bodyDiv w:val="1"/>
      <w:marLeft w:val="0"/>
      <w:marRight w:val="0"/>
      <w:marTop w:val="0"/>
      <w:marBottom w:val="0"/>
      <w:divBdr>
        <w:top w:val="none" w:sz="0" w:space="0" w:color="auto"/>
        <w:left w:val="none" w:sz="0" w:space="0" w:color="auto"/>
        <w:bottom w:val="none" w:sz="0" w:space="0" w:color="auto"/>
        <w:right w:val="none" w:sz="0" w:space="0" w:color="auto"/>
      </w:divBdr>
    </w:div>
    <w:div w:id="391927205">
      <w:bodyDiv w:val="1"/>
      <w:marLeft w:val="0"/>
      <w:marRight w:val="0"/>
      <w:marTop w:val="0"/>
      <w:marBottom w:val="0"/>
      <w:divBdr>
        <w:top w:val="none" w:sz="0" w:space="0" w:color="auto"/>
        <w:left w:val="none" w:sz="0" w:space="0" w:color="auto"/>
        <w:bottom w:val="none" w:sz="0" w:space="0" w:color="auto"/>
        <w:right w:val="none" w:sz="0" w:space="0" w:color="auto"/>
      </w:divBdr>
    </w:div>
    <w:div w:id="411708609">
      <w:bodyDiv w:val="1"/>
      <w:marLeft w:val="0"/>
      <w:marRight w:val="0"/>
      <w:marTop w:val="0"/>
      <w:marBottom w:val="0"/>
      <w:divBdr>
        <w:top w:val="none" w:sz="0" w:space="0" w:color="auto"/>
        <w:left w:val="none" w:sz="0" w:space="0" w:color="auto"/>
        <w:bottom w:val="none" w:sz="0" w:space="0" w:color="auto"/>
        <w:right w:val="none" w:sz="0" w:space="0" w:color="auto"/>
      </w:divBdr>
    </w:div>
    <w:div w:id="422798520">
      <w:bodyDiv w:val="1"/>
      <w:marLeft w:val="0"/>
      <w:marRight w:val="0"/>
      <w:marTop w:val="0"/>
      <w:marBottom w:val="0"/>
      <w:divBdr>
        <w:top w:val="none" w:sz="0" w:space="0" w:color="auto"/>
        <w:left w:val="none" w:sz="0" w:space="0" w:color="auto"/>
        <w:bottom w:val="none" w:sz="0" w:space="0" w:color="auto"/>
        <w:right w:val="none" w:sz="0" w:space="0" w:color="auto"/>
      </w:divBdr>
    </w:div>
    <w:div w:id="426122416">
      <w:bodyDiv w:val="1"/>
      <w:marLeft w:val="0"/>
      <w:marRight w:val="0"/>
      <w:marTop w:val="0"/>
      <w:marBottom w:val="0"/>
      <w:divBdr>
        <w:top w:val="none" w:sz="0" w:space="0" w:color="auto"/>
        <w:left w:val="none" w:sz="0" w:space="0" w:color="auto"/>
        <w:bottom w:val="none" w:sz="0" w:space="0" w:color="auto"/>
        <w:right w:val="none" w:sz="0" w:space="0" w:color="auto"/>
      </w:divBdr>
    </w:div>
    <w:div w:id="449052904">
      <w:bodyDiv w:val="1"/>
      <w:marLeft w:val="0"/>
      <w:marRight w:val="0"/>
      <w:marTop w:val="0"/>
      <w:marBottom w:val="0"/>
      <w:divBdr>
        <w:top w:val="none" w:sz="0" w:space="0" w:color="auto"/>
        <w:left w:val="none" w:sz="0" w:space="0" w:color="auto"/>
        <w:bottom w:val="none" w:sz="0" w:space="0" w:color="auto"/>
        <w:right w:val="none" w:sz="0" w:space="0" w:color="auto"/>
      </w:divBdr>
    </w:div>
    <w:div w:id="456605205">
      <w:bodyDiv w:val="1"/>
      <w:marLeft w:val="0"/>
      <w:marRight w:val="0"/>
      <w:marTop w:val="0"/>
      <w:marBottom w:val="0"/>
      <w:divBdr>
        <w:top w:val="none" w:sz="0" w:space="0" w:color="auto"/>
        <w:left w:val="none" w:sz="0" w:space="0" w:color="auto"/>
        <w:bottom w:val="none" w:sz="0" w:space="0" w:color="auto"/>
        <w:right w:val="none" w:sz="0" w:space="0" w:color="auto"/>
      </w:divBdr>
    </w:div>
    <w:div w:id="473985474">
      <w:bodyDiv w:val="1"/>
      <w:marLeft w:val="0"/>
      <w:marRight w:val="0"/>
      <w:marTop w:val="0"/>
      <w:marBottom w:val="0"/>
      <w:divBdr>
        <w:top w:val="none" w:sz="0" w:space="0" w:color="auto"/>
        <w:left w:val="none" w:sz="0" w:space="0" w:color="auto"/>
        <w:bottom w:val="none" w:sz="0" w:space="0" w:color="auto"/>
        <w:right w:val="none" w:sz="0" w:space="0" w:color="auto"/>
      </w:divBdr>
    </w:div>
    <w:div w:id="498040827">
      <w:bodyDiv w:val="1"/>
      <w:marLeft w:val="0"/>
      <w:marRight w:val="0"/>
      <w:marTop w:val="0"/>
      <w:marBottom w:val="0"/>
      <w:divBdr>
        <w:top w:val="none" w:sz="0" w:space="0" w:color="auto"/>
        <w:left w:val="none" w:sz="0" w:space="0" w:color="auto"/>
        <w:bottom w:val="none" w:sz="0" w:space="0" w:color="auto"/>
        <w:right w:val="none" w:sz="0" w:space="0" w:color="auto"/>
      </w:divBdr>
    </w:div>
    <w:div w:id="510873402">
      <w:bodyDiv w:val="1"/>
      <w:marLeft w:val="0"/>
      <w:marRight w:val="0"/>
      <w:marTop w:val="0"/>
      <w:marBottom w:val="0"/>
      <w:divBdr>
        <w:top w:val="none" w:sz="0" w:space="0" w:color="auto"/>
        <w:left w:val="none" w:sz="0" w:space="0" w:color="auto"/>
        <w:bottom w:val="none" w:sz="0" w:space="0" w:color="auto"/>
        <w:right w:val="none" w:sz="0" w:space="0" w:color="auto"/>
      </w:divBdr>
    </w:div>
    <w:div w:id="564728224">
      <w:bodyDiv w:val="1"/>
      <w:marLeft w:val="0"/>
      <w:marRight w:val="0"/>
      <w:marTop w:val="0"/>
      <w:marBottom w:val="0"/>
      <w:divBdr>
        <w:top w:val="none" w:sz="0" w:space="0" w:color="auto"/>
        <w:left w:val="none" w:sz="0" w:space="0" w:color="auto"/>
        <w:bottom w:val="none" w:sz="0" w:space="0" w:color="auto"/>
        <w:right w:val="none" w:sz="0" w:space="0" w:color="auto"/>
      </w:divBdr>
    </w:div>
    <w:div w:id="620694628">
      <w:bodyDiv w:val="1"/>
      <w:marLeft w:val="0"/>
      <w:marRight w:val="0"/>
      <w:marTop w:val="0"/>
      <w:marBottom w:val="0"/>
      <w:divBdr>
        <w:top w:val="none" w:sz="0" w:space="0" w:color="auto"/>
        <w:left w:val="none" w:sz="0" w:space="0" w:color="auto"/>
        <w:bottom w:val="none" w:sz="0" w:space="0" w:color="auto"/>
        <w:right w:val="none" w:sz="0" w:space="0" w:color="auto"/>
      </w:divBdr>
    </w:div>
    <w:div w:id="620958023">
      <w:bodyDiv w:val="1"/>
      <w:marLeft w:val="0"/>
      <w:marRight w:val="0"/>
      <w:marTop w:val="0"/>
      <w:marBottom w:val="0"/>
      <w:divBdr>
        <w:top w:val="none" w:sz="0" w:space="0" w:color="auto"/>
        <w:left w:val="none" w:sz="0" w:space="0" w:color="auto"/>
        <w:bottom w:val="none" w:sz="0" w:space="0" w:color="auto"/>
        <w:right w:val="none" w:sz="0" w:space="0" w:color="auto"/>
      </w:divBdr>
    </w:div>
    <w:div w:id="656806350">
      <w:bodyDiv w:val="1"/>
      <w:marLeft w:val="0"/>
      <w:marRight w:val="0"/>
      <w:marTop w:val="0"/>
      <w:marBottom w:val="0"/>
      <w:divBdr>
        <w:top w:val="none" w:sz="0" w:space="0" w:color="auto"/>
        <w:left w:val="none" w:sz="0" w:space="0" w:color="auto"/>
        <w:bottom w:val="none" w:sz="0" w:space="0" w:color="auto"/>
        <w:right w:val="none" w:sz="0" w:space="0" w:color="auto"/>
      </w:divBdr>
    </w:div>
    <w:div w:id="663316713">
      <w:bodyDiv w:val="1"/>
      <w:marLeft w:val="0"/>
      <w:marRight w:val="0"/>
      <w:marTop w:val="0"/>
      <w:marBottom w:val="0"/>
      <w:divBdr>
        <w:top w:val="none" w:sz="0" w:space="0" w:color="auto"/>
        <w:left w:val="none" w:sz="0" w:space="0" w:color="auto"/>
        <w:bottom w:val="none" w:sz="0" w:space="0" w:color="auto"/>
        <w:right w:val="none" w:sz="0" w:space="0" w:color="auto"/>
      </w:divBdr>
    </w:div>
    <w:div w:id="678120801">
      <w:bodyDiv w:val="1"/>
      <w:marLeft w:val="0"/>
      <w:marRight w:val="0"/>
      <w:marTop w:val="0"/>
      <w:marBottom w:val="0"/>
      <w:divBdr>
        <w:top w:val="none" w:sz="0" w:space="0" w:color="auto"/>
        <w:left w:val="none" w:sz="0" w:space="0" w:color="auto"/>
        <w:bottom w:val="none" w:sz="0" w:space="0" w:color="auto"/>
        <w:right w:val="none" w:sz="0" w:space="0" w:color="auto"/>
      </w:divBdr>
    </w:div>
    <w:div w:id="687103820">
      <w:bodyDiv w:val="1"/>
      <w:marLeft w:val="0"/>
      <w:marRight w:val="0"/>
      <w:marTop w:val="0"/>
      <w:marBottom w:val="0"/>
      <w:divBdr>
        <w:top w:val="none" w:sz="0" w:space="0" w:color="auto"/>
        <w:left w:val="none" w:sz="0" w:space="0" w:color="auto"/>
        <w:bottom w:val="none" w:sz="0" w:space="0" w:color="auto"/>
        <w:right w:val="none" w:sz="0" w:space="0" w:color="auto"/>
      </w:divBdr>
    </w:div>
    <w:div w:id="717556465">
      <w:bodyDiv w:val="1"/>
      <w:marLeft w:val="0"/>
      <w:marRight w:val="0"/>
      <w:marTop w:val="0"/>
      <w:marBottom w:val="0"/>
      <w:divBdr>
        <w:top w:val="none" w:sz="0" w:space="0" w:color="auto"/>
        <w:left w:val="none" w:sz="0" w:space="0" w:color="auto"/>
        <w:bottom w:val="none" w:sz="0" w:space="0" w:color="auto"/>
        <w:right w:val="none" w:sz="0" w:space="0" w:color="auto"/>
      </w:divBdr>
    </w:div>
    <w:div w:id="718941026">
      <w:bodyDiv w:val="1"/>
      <w:marLeft w:val="0"/>
      <w:marRight w:val="0"/>
      <w:marTop w:val="0"/>
      <w:marBottom w:val="0"/>
      <w:divBdr>
        <w:top w:val="none" w:sz="0" w:space="0" w:color="auto"/>
        <w:left w:val="none" w:sz="0" w:space="0" w:color="auto"/>
        <w:bottom w:val="none" w:sz="0" w:space="0" w:color="auto"/>
        <w:right w:val="none" w:sz="0" w:space="0" w:color="auto"/>
      </w:divBdr>
    </w:div>
    <w:div w:id="721094437">
      <w:bodyDiv w:val="1"/>
      <w:marLeft w:val="0"/>
      <w:marRight w:val="0"/>
      <w:marTop w:val="0"/>
      <w:marBottom w:val="0"/>
      <w:divBdr>
        <w:top w:val="none" w:sz="0" w:space="0" w:color="auto"/>
        <w:left w:val="none" w:sz="0" w:space="0" w:color="auto"/>
        <w:bottom w:val="none" w:sz="0" w:space="0" w:color="auto"/>
        <w:right w:val="none" w:sz="0" w:space="0" w:color="auto"/>
      </w:divBdr>
    </w:div>
    <w:div w:id="728653234">
      <w:bodyDiv w:val="1"/>
      <w:marLeft w:val="0"/>
      <w:marRight w:val="0"/>
      <w:marTop w:val="0"/>
      <w:marBottom w:val="0"/>
      <w:divBdr>
        <w:top w:val="none" w:sz="0" w:space="0" w:color="auto"/>
        <w:left w:val="none" w:sz="0" w:space="0" w:color="auto"/>
        <w:bottom w:val="none" w:sz="0" w:space="0" w:color="auto"/>
        <w:right w:val="none" w:sz="0" w:space="0" w:color="auto"/>
      </w:divBdr>
    </w:div>
    <w:div w:id="733703932">
      <w:bodyDiv w:val="1"/>
      <w:marLeft w:val="0"/>
      <w:marRight w:val="0"/>
      <w:marTop w:val="0"/>
      <w:marBottom w:val="0"/>
      <w:divBdr>
        <w:top w:val="none" w:sz="0" w:space="0" w:color="auto"/>
        <w:left w:val="none" w:sz="0" w:space="0" w:color="auto"/>
        <w:bottom w:val="none" w:sz="0" w:space="0" w:color="auto"/>
        <w:right w:val="none" w:sz="0" w:space="0" w:color="auto"/>
      </w:divBdr>
    </w:div>
    <w:div w:id="736786748">
      <w:bodyDiv w:val="1"/>
      <w:marLeft w:val="0"/>
      <w:marRight w:val="0"/>
      <w:marTop w:val="0"/>
      <w:marBottom w:val="0"/>
      <w:divBdr>
        <w:top w:val="none" w:sz="0" w:space="0" w:color="auto"/>
        <w:left w:val="none" w:sz="0" w:space="0" w:color="auto"/>
        <w:bottom w:val="none" w:sz="0" w:space="0" w:color="auto"/>
        <w:right w:val="none" w:sz="0" w:space="0" w:color="auto"/>
      </w:divBdr>
    </w:div>
    <w:div w:id="740178986">
      <w:bodyDiv w:val="1"/>
      <w:marLeft w:val="0"/>
      <w:marRight w:val="0"/>
      <w:marTop w:val="0"/>
      <w:marBottom w:val="0"/>
      <w:divBdr>
        <w:top w:val="none" w:sz="0" w:space="0" w:color="auto"/>
        <w:left w:val="none" w:sz="0" w:space="0" w:color="auto"/>
        <w:bottom w:val="none" w:sz="0" w:space="0" w:color="auto"/>
        <w:right w:val="none" w:sz="0" w:space="0" w:color="auto"/>
      </w:divBdr>
    </w:div>
    <w:div w:id="752702360">
      <w:bodyDiv w:val="1"/>
      <w:marLeft w:val="0"/>
      <w:marRight w:val="0"/>
      <w:marTop w:val="0"/>
      <w:marBottom w:val="0"/>
      <w:divBdr>
        <w:top w:val="none" w:sz="0" w:space="0" w:color="auto"/>
        <w:left w:val="none" w:sz="0" w:space="0" w:color="auto"/>
        <w:bottom w:val="none" w:sz="0" w:space="0" w:color="auto"/>
        <w:right w:val="none" w:sz="0" w:space="0" w:color="auto"/>
      </w:divBdr>
    </w:div>
    <w:div w:id="774373756">
      <w:bodyDiv w:val="1"/>
      <w:marLeft w:val="0"/>
      <w:marRight w:val="0"/>
      <w:marTop w:val="0"/>
      <w:marBottom w:val="0"/>
      <w:divBdr>
        <w:top w:val="none" w:sz="0" w:space="0" w:color="auto"/>
        <w:left w:val="none" w:sz="0" w:space="0" w:color="auto"/>
        <w:bottom w:val="none" w:sz="0" w:space="0" w:color="auto"/>
        <w:right w:val="none" w:sz="0" w:space="0" w:color="auto"/>
      </w:divBdr>
    </w:div>
    <w:div w:id="810706586">
      <w:bodyDiv w:val="1"/>
      <w:marLeft w:val="0"/>
      <w:marRight w:val="0"/>
      <w:marTop w:val="0"/>
      <w:marBottom w:val="0"/>
      <w:divBdr>
        <w:top w:val="none" w:sz="0" w:space="0" w:color="auto"/>
        <w:left w:val="none" w:sz="0" w:space="0" w:color="auto"/>
        <w:bottom w:val="none" w:sz="0" w:space="0" w:color="auto"/>
        <w:right w:val="none" w:sz="0" w:space="0" w:color="auto"/>
      </w:divBdr>
    </w:div>
    <w:div w:id="814837244">
      <w:bodyDiv w:val="1"/>
      <w:marLeft w:val="0"/>
      <w:marRight w:val="0"/>
      <w:marTop w:val="0"/>
      <w:marBottom w:val="0"/>
      <w:divBdr>
        <w:top w:val="none" w:sz="0" w:space="0" w:color="auto"/>
        <w:left w:val="none" w:sz="0" w:space="0" w:color="auto"/>
        <w:bottom w:val="none" w:sz="0" w:space="0" w:color="auto"/>
        <w:right w:val="none" w:sz="0" w:space="0" w:color="auto"/>
      </w:divBdr>
    </w:div>
    <w:div w:id="826432538">
      <w:bodyDiv w:val="1"/>
      <w:marLeft w:val="0"/>
      <w:marRight w:val="0"/>
      <w:marTop w:val="0"/>
      <w:marBottom w:val="0"/>
      <w:divBdr>
        <w:top w:val="none" w:sz="0" w:space="0" w:color="auto"/>
        <w:left w:val="none" w:sz="0" w:space="0" w:color="auto"/>
        <w:bottom w:val="none" w:sz="0" w:space="0" w:color="auto"/>
        <w:right w:val="none" w:sz="0" w:space="0" w:color="auto"/>
      </w:divBdr>
    </w:div>
    <w:div w:id="953291308">
      <w:bodyDiv w:val="1"/>
      <w:marLeft w:val="0"/>
      <w:marRight w:val="0"/>
      <w:marTop w:val="0"/>
      <w:marBottom w:val="0"/>
      <w:divBdr>
        <w:top w:val="none" w:sz="0" w:space="0" w:color="auto"/>
        <w:left w:val="none" w:sz="0" w:space="0" w:color="auto"/>
        <w:bottom w:val="none" w:sz="0" w:space="0" w:color="auto"/>
        <w:right w:val="none" w:sz="0" w:space="0" w:color="auto"/>
      </w:divBdr>
    </w:div>
    <w:div w:id="961574065">
      <w:bodyDiv w:val="1"/>
      <w:marLeft w:val="0"/>
      <w:marRight w:val="0"/>
      <w:marTop w:val="0"/>
      <w:marBottom w:val="0"/>
      <w:divBdr>
        <w:top w:val="none" w:sz="0" w:space="0" w:color="auto"/>
        <w:left w:val="none" w:sz="0" w:space="0" w:color="auto"/>
        <w:bottom w:val="none" w:sz="0" w:space="0" w:color="auto"/>
        <w:right w:val="none" w:sz="0" w:space="0" w:color="auto"/>
      </w:divBdr>
    </w:div>
    <w:div w:id="965089939">
      <w:bodyDiv w:val="1"/>
      <w:marLeft w:val="0"/>
      <w:marRight w:val="0"/>
      <w:marTop w:val="0"/>
      <w:marBottom w:val="0"/>
      <w:divBdr>
        <w:top w:val="none" w:sz="0" w:space="0" w:color="auto"/>
        <w:left w:val="none" w:sz="0" w:space="0" w:color="auto"/>
        <w:bottom w:val="none" w:sz="0" w:space="0" w:color="auto"/>
        <w:right w:val="none" w:sz="0" w:space="0" w:color="auto"/>
      </w:divBdr>
    </w:div>
    <w:div w:id="989796251">
      <w:bodyDiv w:val="1"/>
      <w:marLeft w:val="0"/>
      <w:marRight w:val="0"/>
      <w:marTop w:val="0"/>
      <w:marBottom w:val="0"/>
      <w:divBdr>
        <w:top w:val="none" w:sz="0" w:space="0" w:color="auto"/>
        <w:left w:val="none" w:sz="0" w:space="0" w:color="auto"/>
        <w:bottom w:val="none" w:sz="0" w:space="0" w:color="auto"/>
        <w:right w:val="none" w:sz="0" w:space="0" w:color="auto"/>
      </w:divBdr>
    </w:div>
    <w:div w:id="992761692">
      <w:bodyDiv w:val="1"/>
      <w:marLeft w:val="0"/>
      <w:marRight w:val="0"/>
      <w:marTop w:val="0"/>
      <w:marBottom w:val="0"/>
      <w:divBdr>
        <w:top w:val="none" w:sz="0" w:space="0" w:color="auto"/>
        <w:left w:val="none" w:sz="0" w:space="0" w:color="auto"/>
        <w:bottom w:val="none" w:sz="0" w:space="0" w:color="auto"/>
        <w:right w:val="none" w:sz="0" w:space="0" w:color="auto"/>
      </w:divBdr>
    </w:div>
    <w:div w:id="1006246695">
      <w:bodyDiv w:val="1"/>
      <w:marLeft w:val="0"/>
      <w:marRight w:val="0"/>
      <w:marTop w:val="0"/>
      <w:marBottom w:val="0"/>
      <w:divBdr>
        <w:top w:val="none" w:sz="0" w:space="0" w:color="auto"/>
        <w:left w:val="none" w:sz="0" w:space="0" w:color="auto"/>
        <w:bottom w:val="none" w:sz="0" w:space="0" w:color="auto"/>
        <w:right w:val="none" w:sz="0" w:space="0" w:color="auto"/>
      </w:divBdr>
    </w:div>
    <w:div w:id="1043823313">
      <w:bodyDiv w:val="1"/>
      <w:marLeft w:val="0"/>
      <w:marRight w:val="0"/>
      <w:marTop w:val="0"/>
      <w:marBottom w:val="0"/>
      <w:divBdr>
        <w:top w:val="none" w:sz="0" w:space="0" w:color="auto"/>
        <w:left w:val="none" w:sz="0" w:space="0" w:color="auto"/>
        <w:bottom w:val="none" w:sz="0" w:space="0" w:color="auto"/>
        <w:right w:val="none" w:sz="0" w:space="0" w:color="auto"/>
      </w:divBdr>
    </w:div>
    <w:div w:id="1048721897">
      <w:bodyDiv w:val="1"/>
      <w:marLeft w:val="0"/>
      <w:marRight w:val="0"/>
      <w:marTop w:val="0"/>
      <w:marBottom w:val="0"/>
      <w:divBdr>
        <w:top w:val="none" w:sz="0" w:space="0" w:color="auto"/>
        <w:left w:val="none" w:sz="0" w:space="0" w:color="auto"/>
        <w:bottom w:val="none" w:sz="0" w:space="0" w:color="auto"/>
        <w:right w:val="none" w:sz="0" w:space="0" w:color="auto"/>
      </w:divBdr>
    </w:div>
    <w:div w:id="1059475393">
      <w:bodyDiv w:val="1"/>
      <w:marLeft w:val="0"/>
      <w:marRight w:val="0"/>
      <w:marTop w:val="0"/>
      <w:marBottom w:val="0"/>
      <w:divBdr>
        <w:top w:val="none" w:sz="0" w:space="0" w:color="auto"/>
        <w:left w:val="none" w:sz="0" w:space="0" w:color="auto"/>
        <w:bottom w:val="none" w:sz="0" w:space="0" w:color="auto"/>
        <w:right w:val="none" w:sz="0" w:space="0" w:color="auto"/>
      </w:divBdr>
    </w:div>
    <w:div w:id="1061291698">
      <w:bodyDiv w:val="1"/>
      <w:marLeft w:val="0"/>
      <w:marRight w:val="0"/>
      <w:marTop w:val="0"/>
      <w:marBottom w:val="0"/>
      <w:divBdr>
        <w:top w:val="none" w:sz="0" w:space="0" w:color="auto"/>
        <w:left w:val="none" w:sz="0" w:space="0" w:color="auto"/>
        <w:bottom w:val="none" w:sz="0" w:space="0" w:color="auto"/>
        <w:right w:val="none" w:sz="0" w:space="0" w:color="auto"/>
      </w:divBdr>
    </w:div>
    <w:div w:id="1064137319">
      <w:bodyDiv w:val="1"/>
      <w:marLeft w:val="0"/>
      <w:marRight w:val="0"/>
      <w:marTop w:val="0"/>
      <w:marBottom w:val="0"/>
      <w:divBdr>
        <w:top w:val="none" w:sz="0" w:space="0" w:color="auto"/>
        <w:left w:val="none" w:sz="0" w:space="0" w:color="auto"/>
        <w:bottom w:val="none" w:sz="0" w:space="0" w:color="auto"/>
        <w:right w:val="none" w:sz="0" w:space="0" w:color="auto"/>
      </w:divBdr>
    </w:div>
    <w:div w:id="1067994393">
      <w:bodyDiv w:val="1"/>
      <w:marLeft w:val="0"/>
      <w:marRight w:val="0"/>
      <w:marTop w:val="0"/>
      <w:marBottom w:val="0"/>
      <w:divBdr>
        <w:top w:val="none" w:sz="0" w:space="0" w:color="auto"/>
        <w:left w:val="none" w:sz="0" w:space="0" w:color="auto"/>
        <w:bottom w:val="none" w:sz="0" w:space="0" w:color="auto"/>
        <w:right w:val="none" w:sz="0" w:space="0" w:color="auto"/>
      </w:divBdr>
    </w:div>
    <w:div w:id="1140685505">
      <w:bodyDiv w:val="1"/>
      <w:marLeft w:val="0"/>
      <w:marRight w:val="0"/>
      <w:marTop w:val="0"/>
      <w:marBottom w:val="0"/>
      <w:divBdr>
        <w:top w:val="none" w:sz="0" w:space="0" w:color="auto"/>
        <w:left w:val="none" w:sz="0" w:space="0" w:color="auto"/>
        <w:bottom w:val="none" w:sz="0" w:space="0" w:color="auto"/>
        <w:right w:val="none" w:sz="0" w:space="0" w:color="auto"/>
      </w:divBdr>
    </w:div>
    <w:div w:id="1152865897">
      <w:bodyDiv w:val="1"/>
      <w:marLeft w:val="0"/>
      <w:marRight w:val="0"/>
      <w:marTop w:val="0"/>
      <w:marBottom w:val="0"/>
      <w:divBdr>
        <w:top w:val="none" w:sz="0" w:space="0" w:color="auto"/>
        <w:left w:val="none" w:sz="0" w:space="0" w:color="auto"/>
        <w:bottom w:val="none" w:sz="0" w:space="0" w:color="auto"/>
        <w:right w:val="none" w:sz="0" w:space="0" w:color="auto"/>
      </w:divBdr>
    </w:div>
    <w:div w:id="1217429143">
      <w:bodyDiv w:val="1"/>
      <w:marLeft w:val="0"/>
      <w:marRight w:val="0"/>
      <w:marTop w:val="0"/>
      <w:marBottom w:val="0"/>
      <w:divBdr>
        <w:top w:val="none" w:sz="0" w:space="0" w:color="auto"/>
        <w:left w:val="none" w:sz="0" w:space="0" w:color="auto"/>
        <w:bottom w:val="none" w:sz="0" w:space="0" w:color="auto"/>
        <w:right w:val="none" w:sz="0" w:space="0" w:color="auto"/>
      </w:divBdr>
    </w:div>
    <w:div w:id="1240556449">
      <w:bodyDiv w:val="1"/>
      <w:marLeft w:val="0"/>
      <w:marRight w:val="0"/>
      <w:marTop w:val="0"/>
      <w:marBottom w:val="0"/>
      <w:divBdr>
        <w:top w:val="none" w:sz="0" w:space="0" w:color="auto"/>
        <w:left w:val="none" w:sz="0" w:space="0" w:color="auto"/>
        <w:bottom w:val="none" w:sz="0" w:space="0" w:color="auto"/>
        <w:right w:val="none" w:sz="0" w:space="0" w:color="auto"/>
      </w:divBdr>
    </w:div>
    <w:div w:id="1284847068">
      <w:bodyDiv w:val="1"/>
      <w:marLeft w:val="0"/>
      <w:marRight w:val="0"/>
      <w:marTop w:val="0"/>
      <w:marBottom w:val="0"/>
      <w:divBdr>
        <w:top w:val="none" w:sz="0" w:space="0" w:color="auto"/>
        <w:left w:val="none" w:sz="0" w:space="0" w:color="auto"/>
        <w:bottom w:val="none" w:sz="0" w:space="0" w:color="auto"/>
        <w:right w:val="none" w:sz="0" w:space="0" w:color="auto"/>
      </w:divBdr>
    </w:div>
    <w:div w:id="1293445688">
      <w:bodyDiv w:val="1"/>
      <w:marLeft w:val="0"/>
      <w:marRight w:val="0"/>
      <w:marTop w:val="0"/>
      <w:marBottom w:val="0"/>
      <w:divBdr>
        <w:top w:val="none" w:sz="0" w:space="0" w:color="auto"/>
        <w:left w:val="none" w:sz="0" w:space="0" w:color="auto"/>
        <w:bottom w:val="none" w:sz="0" w:space="0" w:color="auto"/>
        <w:right w:val="none" w:sz="0" w:space="0" w:color="auto"/>
      </w:divBdr>
    </w:div>
    <w:div w:id="1350571360">
      <w:bodyDiv w:val="1"/>
      <w:marLeft w:val="0"/>
      <w:marRight w:val="0"/>
      <w:marTop w:val="0"/>
      <w:marBottom w:val="0"/>
      <w:divBdr>
        <w:top w:val="none" w:sz="0" w:space="0" w:color="auto"/>
        <w:left w:val="none" w:sz="0" w:space="0" w:color="auto"/>
        <w:bottom w:val="none" w:sz="0" w:space="0" w:color="auto"/>
        <w:right w:val="none" w:sz="0" w:space="0" w:color="auto"/>
      </w:divBdr>
    </w:div>
    <w:div w:id="1352802936">
      <w:bodyDiv w:val="1"/>
      <w:marLeft w:val="0"/>
      <w:marRight w:val="0"/>
      <w:marTop w:val="0"/>
      <w:marBottom w:val="0"/>
      <w:divBdr>
        <w:top w:val="none" w:sz="0" w:space="0" w:color="auto"/>
        <w:left w:val="none" w:sz="0" w:space="0" w:color="auto"/>
        <w:bottom w:val="none" w:sz="0" w:space="0" w:color="auto"/>
        <w:right w:val="none" w:sz="0" w:space="0" w:color="auto"/>
      </w:divBdr>
    </w:div>
    <w:div w:id="1358308939">
      <w:bodyDiv w:val="1"/>
      <w:marLeft w:val="0"/>
      <w:marRight w:val="0"/>
      <w:marTop w:val="0"/>
      <w:marBottom w:val="0"/>
      <w:divBdr>
        <w:top w:val="none" w:sz="0" w:space="0" w:color="auto"/>
        <w:left w:val="none" w:sz="0" w:space="0" w:color="auto"/>
        <w:bottom w:val="none" w:sz="0" w:space="0" w:color="auto"/>
        <w:right w:val="none" w:sz="0" w:space="0" w:color="auto"/>
      </w:divBdr>
    </w:div>
    <w:div w:id="1372614914">
      <w:bodyDiv w:val="1"/>
      <w:marLeft w:val="0"/>
      <w:marRight w:val="0"/>
      <w:marTop w:val="0"/>
      <w:marBottom w:val="0"/>
      <w:divBdr>
        <w:top w:val="none" w:sz="0" w:space="0" w:color="auto"/>
        <w:left w:val="none" w:sz="0" w:space="0" w:color="auto"/>
        <w:bottom w:val="none" w:sz="0" w:space="0" w:color="auto"/>
        <w:right w:val="none" w:sz="0" w:space="0" w:color="auto"/>
      </w:divBdr>
    </w:div>
    <w:div w:id="1378118370">
      <w:bodyDiv w:val="1"/>
      <w:marLeft w:val="0"/>
      <w:marRight w:val="0"/>
      <w:marTop w:val="0"/>
      <w:marBottom w:val="0"/>
      <w:divBdr>
        <w:top w:val="none" w:sz="0" w:space="0" w:color="auto"/>
        <w:left w:val="none" w:sz="0" w:space="0" w:color="auto"/>
        <w:bottom w:val="none" w:sz="0" w:space="0" w:color="auto"/>
        <w:right w:val="none" w:sz="0" w:space="0" w:color="auto"/>
      </w:divBdr>
    </w:div>
    <w:div w:id="1381440091">
      <w:bodyDiv w:val="1"/>
      <w:marLeft w:val="0"/>
      <w:marRight w:val="0"/>
      <w:marTop w:val="0"/>
      <w:marBottom w:val="0"/>
      <w:divBdr>
        <w:top w:val="none" w:sz="0" w:space="0" w:color="auto"/>
        <w:left w:val="none" w:sz="0" w:space="0" w:color="auto"/>
        <w:bottom w:val="none" w:sz="0" w:space="0" w:color="auto"/>
        <w:right w:val="none" w:sz="0" w:space="0" w:color="auto"/>
      </w:divBdr>
    </w:div>
    <w:div w:id="1392073422">
      <w:bodyDiv w:val="1"/>
      <w:marLeft w:val="0"/>
      <w:marRight w:val="0"/>
      <w:marTop w:val="0"/>
      <w:marBottom w:val="0"/>
      <w:divBdr>
        <w:top w:val="none" w:sz="0" w:space="0" w:color="auto"/>
        <w:left w:val="none" w:sz="0" w:space="0" w:color="auto"/>
        <w:bottom w:val="none" w:sz="0" w:space="0" w:color="auto"/>
        <w:right w:val="none" w:sz="0" w:space="0" w:color="auto"/>
      </w:divBdr>
    </w:div>
    <w:div w:id="1402142929">
      <w:bodyDiv w:val="1"/>
      <w:marLeft w:val="0"/>
      <w:marRight w:val="0"/>
      <w:marTop w:val="0"/>
      <w:marBottom w:val="0"/>
      <w:divBdr>
        <w:top w:val="none" w:sz="0" w:space="0" w:color="auto"/>
        <w:left w:val="none" w:sz="0" w:space="0" w:color="auto"/>
        <w:bottom w:val="none" w:sz="0" w:space="0" w:color="auto"/>
        <w:right w:val="none" w:sz="0" w:space="0" w:color="auto"/>
      </w:divBdr>
    </w:div>
    <w:div w:id="1405109556">
      <w:bodyDiv w:val="1"/>
      <w:marLeft w:val="0"/>
      <w:marRight w:val="0"/>
      <w:marTop w:val="0"/>
      <w:marBottom w:val="0"/>
      <w:divBdr>
        <w:top w:val="none" w:sz="0" w:space="0" w:color="auto"/>
        <w:left w:val="none" w:sz="0" w:space="0" w:color="auto"/>
        <w:bottom w:val="none" w:sz="0" w:space="0" w:color="auto"/>
        <w:right w:val="none" w:sz="0" w:space="0" w:color="auto"/>
      </w:divBdr>
    </w:div>
    <w:div w:id="1421442164">
      <w:bodyDiv w:val="1"/>
      <w:marLeft w:val="0"/>
      <w:marRight w:val="0"/>
      <w:marTop w:val="0"/>
      <w:marBottom w:val="0"/>
      <w:divBdr>
        <w:top w:val="none" w:sz="0" w:space="0" w:color="auto"/>
        <w:left w:val="none" w:sz="0" w:space="0" w:color="auto"/>
        <w:bottom w:val="none" w:sz="0" w:space="0" w:color="auto"/>
        <w:right w:val="none" w:sz="0" w:space="0" w:color="auto"/>
      </w:divBdr>
    </w:div>
    <w:div w:id="1428382816">
      <w:bodyDiv w:val="1"/>
      <w:marLeft w:val="0"/>
      <w:marRight w:val="0"/>
      <w:marTop w:val="0"/>
      <w:marBottom w:val="0"/>
      <w:divBdr>
        <w:top w:val="none" w:sz="0" w:space="0" w:color="auto"/>
        <w:left w:val="none" w:sz="0" w:space="0" w:color="auto"/>
        <w:bottom w:val="none" w:sz="0" w:space="0" w:color="auto"/>
        <w:right w:val="none" w:sz="0" w:space="0" w:color="auto"/>
      </w:divBdr>
    </w:div>
    <w:div w:id="1435439746">
      <w:bodyDiv w:val="1"/>
      <w:marLeft w:val="0"/>
      <w:marRight w:val="0"/>
      <w:marTop w:val="0"/>
      <w:marBottom w:val="0"/>
      <w:divBdr>
        <w:top w:val="none" w:sz="0" w:space="0" w:color="auto"/>
        <w:left w:val="none" w:sz="0" w:space="0" w:color="auto"/>
        <w:bottom w:val="none" w:sz="0" w:space="0" w:color="auto"/>
        <w:right w:val="none" w:sz="0" w:space="0" w:color="auto"/>
      </w:divBdr>
    </w:div>
    <w:div w:id="1437678942">
      <w:bodyDiv w:val="1"/>
      <w:marLeft w:val="0"/>
      <w:marRight w:val="0"/>
      <w:marTop w:val="0"/>
      <w:marBottom w:val="0"/>
      <w:divBdr>
        <w:top w:val="none" w:sz="0" w:space="0" w:color="auto"/>
        <w:left w:val="none" w:sz="0" w:space="0" w:color="auto"/>
        <w:bottom w:val="none" w:sz="0" w:space="0" w:color="auto"/>
        <w:right w:val="none" w:sz="0" w:space="0" w:color="auto"/>
      </w:divBdr>
    </w:div>
    <w:div w:id="1441951252">
      <w:bodyDiv w:val="1"/>
      <w:marLeft w:val="0"/>
      <w:marRight w:val="0"/>
      <w:marTop w:val="0"/>
      <w:marBottom w:val="0"/>
      <w:divBdr>
        <w:top w:val="none" w:sz="0" w:space="0" w:color="auto"/>
        <w:left w:val="none" w:sz="0" w:space="0" w:color="auto"/>
        <w:bottom w:val="none" w:sz="0" w:space="0" w:color="auto"/>
        <w:right w:val="none" w:sz="0" w:space="0" w:color="auto"/>
      </w:divBdr>
    </w:div>
    <w:div w:id="1498038328">
      <w:bodyDiv w:val="1"/>
      <w:marLeft w:val="0"/>
      <w:marRight w:val="0"/>
      <w:marTop w:val="0"/>
      <w:marBottom w:val="0"/>
      <w:divBdr>
        <w:top w:val="none" w:sz="0" w:space="0" w:color="auto"/>
        <w:left w:val="none" w:sz="0" w:space="0" w:color="auto"/>
        <w:bottom w:val="none" w:sz="0" w:space="0" w:color="auto"/>
        <w:right w:val="none" w:sz="0" w:space="0" w:color="auto"/>
      </w:divBdr>
    </w:div>
    <w:div w:id="1503157067">
      <w:bodyDiv w:val="1"/>
      <w:marLeft w:val="0"/>
      <w:marRight w:val="0"/>
      <w:marTop w:val="0"/>
      <w:marBottom w:val="0"/>
      <w:divBdr>
        <w:top w:val="none" w:sz="0" w:space="0" w:color="auto"/>
        <w:left w:val="none" w:sz="0" w:space="0" w:color="auto"/>
        <w:bottom w:val="none" w:sz="0" w:space="0" w:color="auto"/>
        <w:right w:val="none" w:sz="0" w:space="0" w:color="auto"/>
      </w:divBdr>
    </w:div>
    <w:div w:id="1544948917">
      <w:bodyDiv w:val="1"/>
      <w:marLeft w:val="0"/>
      <w:marRight w:val="0"/>
      <w:marTop w:val="0"/>
      <w:marBottom w:val="0"/>
      <w:divBdr>
        <w:top w:val="none" w:sz="0" w:space="0" w:color="auto"/>
        <w:left w:val="none" w:sz="0" w:space="0" w:color="auto"/>
        <w:bottom w:val="none" w:sz="0" w:space="0" w:color="auto"/>
        <w:right w:val="none" w:sz="0" w:space="0" w:color="auto"/>
      </w:divBdr>
    </w:div>
    <w:div w:id="1546214235">
      <w:bodyDiv w:val="1"/>
      <w:marLeft w:val="0"/>
      <w:marRight w:val="0"/>
      <w:marTop w:val="0"/>
      <w:marBottom w:val="0"/>
      <w:divBdr>
        <w:top w:val="none" w:sz="0" w:space="0" w:color="auto"/>
        <w:left w:val="none" w:sz="0" w:space="0" w:color="auto"/>
        <w:bottom w:val="none" w:sz="0" w:space="0" w:color="auto"/>
        <w:right w:val="none" w:sz="0" w:space="0" w:color="auto"/>
      </w:divBdr>
    </w:div>
    <w:div w:id="1573275677">
      <w:bodyDiv w:val="1"/>
      <w:marLeft w:val="0"/>
      <w:marRight w:val="0"/>
      <w:marTop w:val="0"/>
      <w:marBottom w:val="0"/>
      <w:divBdr>
        <w:top w:val="none" w:sz="0" w:space="0" w:color="auto"/>
        <w:left w:val="none" w:sz="0" w:space="0" w:color="auto"/>
        <w:bottom w:val="none" w:sz="0" w:space="0" w:color="auto"/>
        <w:right w:val="none" w:sz="0" w:space="0" w:color="auto"/>
      </w:divBdr>
    </w:div>
    <w:div w:id="1577397667">
      <w:bodyDiv w:val="1"/>
      <w:marLeft w:val="0"/>
      <w:marRight w:val="0"/>
      <w:marTop w:val="0"/>
      <w:marBottom w:val="0"/>
      <w:divBdr>
        <w:top w:val="none" w:sz="0" w:space="0" w:color="auto"/>
        <w:left w:val="none" w:sz="0" w:space="0" w:color="auto"/>
        <w:bottom w:val="none" w:sz="0" w:space="0" w:color="auto"/>
        <w:right w:val="none" w:sz="0" w:space="0" w:color="auto"/>
      </w:divBdr>
    </w:div>
    <w:div w:id="1583416726">
      <w:bodyDiv w:val="1"/>
      <w:marLeft w:val="0"/>
      <w:marRight w:val="0"/>
      <w:marTop w:val="0"/>
      <w:marBottom w:val="0"/>
      <w:divBdr>
        <w:top w:val="none" w:sz="0" w:space="0" w:color="auto"/>
        <w:left w:val="none" w:sz="0" w:space="0" w:color="auto"/>
        <w:bottom w:val="none" w:sz="0" w:space="0" w:color="auto"/>
        <w:right w:val="none" w:sz="0" w:space="0" w:color="auto"/>
      </w:divBdr>
    </w:div>
    <w:div w:id="1594315915">
      <w:bodyDiv w:val="1"/>
      <w:marLeft w:val="0"/>
      <w:marRight w:val="0"/>
      <w:marTop w:val="0"/>
      <w:marBottom w:val="0"/>
      <w:divBdr>
        <w:top w:val="none" w:sz="0" w:space="0" w:color="auto"/>
        <w:left w:val="none" w:sz="0" w:space="0" w:color="auto"/>
        <w:bottom w:val="none" w:sz="0" w:space="0" w:color="auto"/>
        <w:right w:val="none" w:sz="0" w:space="0" w:color="auto"/>
      </w:divBdr>
    </w:div>
    <w:div w:id="1634015845">
      <w:bodyDiv w:val="1"/>
      <w:marLeft w:val="0"/>
      <w:marRight w:val="0"/>
      <w:marTop w:val="0"/>
      <w:marBottom w:val="0"/>
      <w:divBdr>
        <w:top w:val="none" w:sz="0" w:space="0" w:color="auto"/>
        <w:left w:val="none" w:sz="0" w:space="0" w:color="auto"/>
        <w:bottom w:val="none" w:sz="0" w:space="0" w:color="auto"/>
        <w:right w:val="none" w:sz="0" w:space="0" w:color="auto"/>
      </w:divBdr>
    </w:div>
    <w:div w:id="1636912768">
      <w:bodyDiv w:val="1"/>
      <w:marLeft w:val="0"/>
      <w:marRight w:val="0"/>
      <w:marTop w:val="0"/>
      <w:marBottom w:val="0"/>
      <w:divBdr>
        <w:top w:val="none" w:sz="0" w:space="0" w:color="auto"/>
        <w:left w:val="none" w:sz="0" w:space="0" w:color="auto"/>
        <w:bottom w:val="none" w:sz="0" w:space="0" w:color="auto"/>
        <w:right w:val="none" w:sz="0" w:space="0" w:color="auto"/>
      </w:divBdr>
    </w:div>
    <w:div w:id="1651516430">
      <w:bodyDiv w:val="1"/>
      <w:marLeft w:val="0"/>
      <w:marRight w:val="0"/>
      <w:marTop w:val="0"/>
      <w:marBottom w:val="0"/>
      <w:divBdr>
        <w:top w:val="none" w:sz="0" w:space="0" w:color="auto"/>
        <w:left w:val="none" w:sz="0" w:space="0" w:color="auto"/>
        <w:bottom w:val="none" w:sz="0" w:space="0" w:color="auto"/>
        <w:right w:val="none" w:sz="0" w:space="0" w:color="auto"/>
      </w:divBdr>
    </w:div>
    <w:div w:id="1654795860">
      <w:bodyDiv w:val="1"/>
      <w:marLeft w:val="0"/>
      <w:marRight w:val="0"/>
      <w:marTop w:val="0"/>
      <w:marBottom w:val="0"/>
      <w:divBdr>
        <w:top w:val="none" w:sz="0" w:space="0" w:color="auto"/>
        <w:left w:val="none" w:sz="0" w:space="0" w:color="auto"/>
        <w:bottom w:val="none" w:sz="0" w:space="0" w:color="auto"/>
        <w:right w:val="none" w:sz="0" w:space="0" w:color="auto"/>
      </w:divBdr>
    </w:div>
    <w:div w:id="1654987104">
      <w:bodyDiv w:val="1"/>
      <w:marLeft w:val="0"/>
      <w:marRight w:val="0"/>
      <w:marTop w:val="0"/>
      <w:marBottom w:val="0"/>
      <w:divBdr>
        <w:top w:val="none" w:sz="0" w:space="0" w:color="auto"/>
        <w:left w:val="none" w:sz="0" w:space="0" w:color="auto"/>
        <w:bottom w:val="none" w:sz="0" w:space="0" w:color="auto"/>
        <w:right w:val="none" w:sz="0" w:space="0" w:color="auto"/>
      </w:divBdr>
    </w:div>
    <w:div w:id="1669364910">
      <w:bodyDiv w:val="1"/>
      <w:marLeft w:val="0"/>
      <w:marRight w:val="0"/>
      <w:marTop w:val="0"/>
      <w:marBottom w:val="0"/>
      <w:divBdr>
        <w:top w:val="none" w:sz="0" w:space="0" w:color="auto"/>
        <w:left w:val="none" w:sz="0" w:space="0" w:color="auto"/>
        <w:bottom w:val="none" w:sz="0" w:space="0" w:color="auto"/>
        <w:right w:val="none" w:sz="0" w:space="0" w:color="auto"/>
      </w:divBdr>
    </w:div>
    <w:div w:id="1674531398">
      <w:bodyDiv w:val="1"/>
      <w:marLeft w:val="0"/>
      <w:marRight w:val="0"/>
      <w:marTop w:val="0"/>
      <w:marBottom w:val="0"/>
      <w:divBdr>
        <w:top w:val="none" w:sz="0" w:space="0" w:color="auto"/>
        <w:left w:val="none" w:sz="0" w:space="0" w:color="auto"/>
        <w:bottom w:val="none" w:sz="0" w:space="0" w:color="auto"/>
        <w:right w:val="none" w:sz="0" w:space="0" w:color="auto"/>
      </w:divBdr>
    </w:div>
    <w:div w:id="1680081879">
      <w:bodyDiv w:val="1"/>
      <w:marLeft w:val="0"/>
      <w:marRight w:val="0"/>
      <w:marTop w:val="0"/>
      <w:marBottom w:val="0"/>
      <w:divBdr>
        <w:top w:val="none" w:sz="0" w:space="0" w:color="auto"/>
        <w:left w:val="none" w:sz="0" w:space="0" w:color="auto"/>
        <w:bottom w:val="none" w:sz="0" w:space="0" w:color="auto"/>
        <w:right w:val="none" w:sz="0" w:space="0" w:color="auto"/>
      </w:divBdr>
    </w:div>
    <w:div w:id="1733313517">
      <w:bodyDiv w:val="1"/>
      <w:marLeft w:val="0"/>
      <w:marRight w:val="0"/>
      <w:marTop w:val="0"/>
      <w:marBottom w:val="0"/>
      <w:divBdr>
        <w:top w:val="none" w:sz="0" w:space="0" w:color="auto"/>
        <w:left w:val="none" w:sz="0" w:space="0" w:color="auto"/>
        <w:bottom w:val="none" w:sz="0" w:space="0" w:color="auto"/>
        <w:right w:val="none" w:sz="0" w:space="0" w:color="auto"/>
      </w:divBdr>
    </w:div>
    <w:div w:id="1741291903">
      <w:bodyDiv w:val="1"/>
      <w:marLeft w:val="0"/>
      <w:marRight w:val="0"/>
      <w:marTop w:val="0"/>
      <w:marBottom w:val="0"/>
      <w:divBdr>
        <w:top w:val="none" w:sz="0" w:space="0" w:color="auto"/>
        <w:left w:val="none" w:sz="0" w:space="0" w:color="auto"/>
        <w:bottom w:val="none" w:sz="0" w:space="0" w:color="auto"/>
        <w:right w:val="none" w:sz="0" w:space="0" w:color="auto"/>
      </w:divBdr>
    </w:div>
    <w:div w:id="1742674042">
      <w:bodyDiv w:val="1"/>
      <w:marLeft w:val="0"/>
      <w:marRight w:val="0"/>
      <w:marTop w:val="0"/>
      <w:marBottom w:val="0"/>
      <w:divBdr>
        <w:top w:val="none" w:sz="0" w:space="0" w:color="auto"/>
        <w:left w:val="none" w:sz="0" w:space="0" w:color="auto"/>
        <w:bottom w:val="none" w:sz="0" w:space="0" w:color="auto"/>
        <w:right w:val="none" w:sz="0" w:space="0" w:color="auto"/>
      </w:divBdr>
    </w:div>
    <w:div w:id="1747651458">
      <w:bodyDiv w:val="1"/>
      <w:marLeft w:val="0"/>
      <w:marRight w:val="0"/>
      <w:marTop w:val="0"/>
      <w:marBottom w:val="0"/>
      <w:divBdr>
        <w:top w:val="none" w:sz="0" w:space="0" w:color="auto"/>
        <w:left w:val="none" w:sz="0" w:space="0" w:color="auto"/>
        <w:bottom w:val="none" w:sz="0" w:space="0" w:color="auto"/>
        <w:right w:val="none" w:sz="0" w:space="0" w:color="auto"/>
      </w:divBdr>
    </w:div>
    <w:div w:id="1757745709">
      <w:bodyDiv w:val="1"/>
      <w:marLeft w:val="0"/>
      <w:marRight w:val="0"/>
      <w:marTop w:val="0"/>
      <w:marBottom w:val="0"/>
      <w:divBdr>
        <w:top w:val="none" w:sz="0" w:space="0" w:color="auto"/>
        <w:left w:val="none" w:sz="0" w:space="0" w:color="auto"/>
        <w:bottom w:val="none" w:sz="0" w:space="0" w:color="auto"/>
        <w:right w:val="none" w:sz="0" w:space="0" w:color="auto"/>
      </w:divBdr>
    </w:div>
    <w:div w:id="1789007555">
      <w:bodyDiv w:val="1"/>
      <w:marLeft w:val="0"/>
      <w:marRight w:val="0"/>
      <w:marTop w:val="0"/>
      <w:marBottom w:val="0"/>
      <w:divBdr>
        <w:top w:val="none" w:sz="0" w:space="0" w:color="auto"/>
        <w:left w:val="none" w:sz="0" w:space="0" w:color="auto"/>
        <w:bottom w:val="none" w:sz="0" w:space="0" w:color="auto"/>
        <w:right w:val="none" w:sz="0" w:space="0" w:color="auto"/>
      </w:divBdr>
    </w:div>
    <w:div w:id="1806772827">
      <w:bodyDiv w:val="1"/>
      <w:marLeft w:val="0"/>
      <w:marRight w:val="0"/>
      <w:marTop w:val="0"/>
      <w:marBottom w:val="0"/>
      <w:divBdr>
        <w:top w:val="none" w:sz="0" w:space="0" w:color="auto"/>
        <w:left w:val="none" w:sz="0" w:space="0" w:color="auto"/>
        <w:bottom w:val="none" w:sz="0" w:space="0" w:color="auto"/>
        <w:right w:val="none" w:sz="0" w:space="0" w:color="auto"/>
      </w:divBdr>
    </w:div>
    <w:div w:id="1850944925">
      <w:bodyDiv w:val="1"/>
      <w:marLeft w:val="0"/>
      <w:marRight w:val="0"/>
      <w:marTop w:val="0"/>
      <w:marBottom w:val="0"/>
      <w:divBdr>
        <w:top w:val="none" w:sz="0" w:space="0" w:color="auto"/>
        <w:left w:val="none" w:sz="0" w:space="0" w:color="auto"/>
        <w:bottom w:val="none" w:sz="0" w:space="0" w:color="auto"/>
        <w:right w:val="none" w:sz="0" w:space="0" w:color="auto"/>
      </w:divBdr>
    </w:div>
    <w:div w:id="1904946270">
      <w:bodyDiv w:val="1"/>
      <w:marLeft w:val="0"/>
      <w:marRight w:val="0"/>
      <w:marTop w:val="0"/>
      <w:marBottom w:val="0"/>
      <w:divBdr>
        <w:top w:val="none" w:sz="0" w:space="0" w:color="auto"/>
        <w:left w:val="none" w:sz="0" w:space="0" w:color="auto"/>
        <w:bottom w:val="none" w:sz="0" w:space="0" w:color="auto"/>
        <w:right w:val="none" w:sz="0" w:space="0" w:color="auto"/>
      </w:divBdr>
    </w:div>
    <w:div w:id="1913196487">
      <w:bodyDiv w:val="1"/>
      <w:marLeft w:val="0"/>
      <w:marRight w:val="0"/>
      <w:marTop w:val="0"/>
      <w:marBottom w:val="0"/>
      <w:divBdr>
        <w:top w:val="none" w:sz="0" w:space="0" w:color="auto"/>
        <w:left w:val="none" w:sz="0" w:space="0" w:color="auto"/>
        <w:bottom w:val="none" w:sz="0" w:space="0" w:color="auto"/>
        <w:right w:val="none" w:sz="0" w:space="0" w:color="auto"/>
      </w:divBdr>
    </w:div>
    <w:div w:id="1945838841">
      <w:bodyDiv w:val="1"/>
      <w:marLeft w:val="0"/>
      <w:marRight w:val="0"/>
      <w:marTop w:val="0"/>
      <w:marBottom w:val="0"/>
      <w:divBdr>
        <w:top w:val="none" w:sz="0" w:space="0" w:color="auto"/>
        <w:left w:val="none" w:sz="0" w:space="0" w:color="auto"/>
        <w:bottom w:val="none" w:sz="0" w:space="0" w:color="auto"/>
        <w:right w:val="none" w:sz="0" w:space="0" w:color="auto"/>
      </w:divBdr>
    </w:div>
    <w:div w:id="1962491028">
      <w:bodyDiv w:val="1"/>
      <w:marLeft w:val="0"/>
      <w:marRight w:val="0"/>
      <w:marTop w:val="0"/>
      <w:marBottom w:val="0"/>
      <w:divBdr>
        <w:top w:val="none" w:sz="0" w:space="0" w:color="auto"/>
        <w:left w:val="none" w:sz="0" w:space="0" w:color="auto"/>
        <w:bottom w:val="none" w:sz="0" w:space="0" w:color="auto"/>
        <w:right w:val="none" w:sz="0" w:space="0" w:color="auto"/>
      </w:divBdr>
    </w:div>
    <w:div w:id="1967539394">
      <w:bodyDiv w:val="1"/>
      <w:marLeft w:val="0"/>
      <w:marRight w:val="0"/>
      <w:marTop w:val="0"/>
      <w:marBottom w:val="0"/>
      <w:divBdr>
        <w:top w:val="none" w:sz="0" w:space="0" w:color="auto"/>
        <w:left w:val="none" w:sz="0" w:space="0" w:color="auto"/>
        <w:bottom w:val="none" w:sz="0" w:space="0" w:color="auto"/>
        <w:right w:val="none" w:sz="0" w:space="0" w:color="auto"/>
      </w:divBdr>
    </w:div>
    <w:div w:id="1970088403">
      <w:bodyDiv w:val="1"/>
      <w:marLeft w:val="0"/>
      <w:marRight w:val="0"/>
      <w:marTop w:val="0"/>
      <w:marBottom w:val="0"/>
      <w:divBdr>
        <w:top w:val="none" w:sz="0" w:space="0" w:color="auto"/>
        <w:left w:val="none" w:sz="0" w:space="0" w:color="auto"/>
        <w:bottom w:val="none" w:sz="0" w:space="0" w:color="auto"/>
        <w:right w:val="none" w:sz="0" w:space="0" w:color="auto"/>
      </w:divBdr>
    </w:div>
    <w:div w:id="1980646563">
      <w:bodyDiv w:val="1"/>
      <w:marLeft w:val="0"/>
      <w:marRight w:val="0"/>
      <w:marTop w:val="0"/>
      <w:marBottom w:val="0"/>
      <w:divBdr>
        <w:top w:val="none" w:sz="0" w:space="0" w:color="auto"/>
        <w:left w:val="none" w:sz="0" w:space="0" w:color="auto"/>
        <w:bottom w:val="none" w:sz="0" w:space="0" w:color="auto"/>
        <w:right w:val="none" w:sz="0" w:space="0" w:color="auto"/>
      </w:divBdr>
    </w:div>
    <w:div w:id="1995908105">
      <w:bodyDiv w:val="1"/>
      <w:marLeft w:val="0"/>
      <w:marRight w:val="0"/>
      <w:marTop w:val="0"/>
      <w:marBottom w:val="0"/>
      <w:divBdr>
        <w:top w:val="none" w:sz="0" w:space="0" w:color="auto"/>
        <w:left w:val="none" w:sz="0" w:space="0" w:color="auto"/>
        <w:bottom w:val="none" w:sz="0" w:space="0" w:color="auto"/>
        <w:right w:val="none" w:sz="0" w:space="0" w:color="auto"/>
      </w:divBdr>
    </w:div>
    <w:div w:id="2005275067">
      <w:bodyDiv w:val="1"/>
      <w:marLeft w:val="0"/>
      <w:marRight w:val="0"/>
      <w:marTop w:val="0"/>
      <w:marBottom w:val="0"/>
      <w:divBdr>
        <w:top w:val="none" w:sz="0" w:space="0" w:color="auto"/>
        <w:left w:val="none" w:sz="0" w:space="0" w:color="auto"/>
        <w:bottom w:val="none" w:sz="0" w:space="0" w:color="auto"/>
        <w:right w:val="none" w:sz="0" w:space="0" w:color="auto"/>
      </w:divBdr>
    </w:div>
    <w:div w:id="2024548801">
      <w:bodyDiv w:val="1"/>
      <w:marLeft w:val="0"/>
      <w:marRight w:val="0"/>
      <w:marTop w:val="0"/>
      <w:marBottom w:val="0"/>
      <w:divBdr>
        <w:top w:val="none" w:sz="0" w:space="0" w:color="auto"/>
        <w:left w:val="none" w:sz="0" w:space="0" w:color="auto"/>
        <w:bottom w:val="none" w:sz="0" w:space="0" w:color="auto"/>
        <w:right w:val="none" w:sz="0" w:space="0" w:color="auto"/>
      </w:divBdr>
    </w:div>
    <w:div w:id="2026320912">
      <w:bodyDiv w:val="1"/>
      <w:marLeft w:val="0"/>
      <w:marRight w:val="0"/>
      <w:marTop w:val="0"/>
      <w:marBottom w:val="0"/>
      <w:divBdr>
        <w:top w:val="none" w:sz="0" w:space="0" w:color="auto"/>
        <w:left w:val="none" w:sz="0" w:space="0" w:color="auto"/>
        <w:bottom w:val="none" w:sz="0" w:space="0" w:color="auto"/>
        <w:right w:val="none" w:sz="0" w:space="0" w:color="auto"/>
      </w:divBdr>
    </w:div>
    <w:div w:id="2032489494">
      <w:bodyDiv w:val="1"/>
      <w:marLeft w:val="0"/>
      <w:marRight w:val="0"/>
      <w:marTop w:val="0"/>
      <w:marBottom w:val="0"/>
      <w:divBdr>
        <w:top w:val="none" w:sz="0" w:space="0" w:color="auto"/>
        <w:left w:val="none" w:sz="0" w:space="0" w:color="auto"/>
        <w:bottom w:val="none" w:sz="0" w:space="0" w:color="auto"/>
        <w:right w:val="none" w:sz="0" w:space="0" w:color="auto"/>
      </w:divBdr>
    </w:div>
    <w:div w:id="2084713246">
      <w:bodyDiv w:val="1"/>
      <w:marLeft w:val="0"/>
      <w:marRight w:val="0"/>
      <w:marTop w:val="0"/>
      <w:marBottom w:val="0"/>
      <w:divBdr>
        <w:top w:val="none" w:sz="0" w:space="0" w:color="auto"/>
        <w:left w:val="none" w:sz="0" w:space="0" w:color="auto"/>
        <w:bottom w:val="none" w:sz="0" w:space="0" w:color="auto"/>
        <w:right w:val="none" w:sz="0" w:space="0" w:color="auto"/>
      </w:divBdr>
    </w:div>
    <w:div w:id="2094620263">
      <w:bodyDiv w:val="1"/>
      <w:marLeft w:val="0"/>
      <w:marRight w:val="0"/>
      <w:marTop w:val="0"/>
      <w:marBottom w:val="0"/>
      <w:divBdr>
        <w:top w:val="none" w:sz="0" w:space="0" w:color="auto"/>
        <w:left w:val="none" w:sz="0" w:space="0" w:color="auto"/>
        <w:bottom w:val="none" w:sz="0" w:space="0" w:color="auto"/>
        <w:right w:val="none" w:sz="0" w:space="0" w:color="auto"/>
      </w:divBdr>
    </w:div>
    <w:div w:id="2097943468">
      <w:bodyDiv w:val="1"/>
      <w:marLeft w:val="0"/>
      <w:marRight w:val="0"/>
      <w:marTop w:val="0"/>
      <w:marBottom w:val="0"/>
      <w:divBdr>
        <w:top w:val="none" w:sz="0" w:space="0" w:color="auto"/>
        <w:left w:val="none" w:sz="0" w:space="0" w:color="auto"/>
        <w:bottom w:val="none" w:sz="0" w:space="0" w:color="auto"/>
        <w:right w:val="none" w:sz="0" w:space="0" w:color="auto"/>
      </w:divBdr>
    </w:div>
    <w:div w:id="2115053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55DCE0D458264395BCA585A05246F3" ma:contentTypeVersion="22" ma:contentTypeDescription="Create a new document." ma:contentTypeScope="" ma:versionID="75a555aa1b67c12d70196993e3fd28df">
  <xsd:schema xmlns:xsd="http://www.w3.org/2001/XMLSchema" xmlns:xs="http://www.w3.org/2001/XMLSchema" xmlns:p="http://schemas.microsoft.com/office/2006/metadata/properties" xmlns:ns2="7d427de9-be9a-457f-a8ea-f1a38ea62966" xmlns:ns3="8291b15b-081b-4a88-847e-757ed3dfeb31" targetNamespace="http://schemas.microsoft.com/office/2006/metadata/properties" ma:root="true" ma:fieldsID="0290345ad235e7f57a049eb9bc77534d" ns2:_="" ns3:_="">
    <xsd:import namespace="7d427de9-be9a-457f-a8ea-f1a38ea62966"/>
    <xsd:import namespace="8291b15b-081b-4a88-847e-757ed3dfe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_Flow_SignoffStatus" minOccurs="0"/>
                <xsd:element ref="ns3:DownloadStatus" minOccurs="0"/>
                <xsd:element ref="ns3:MediaServiceAutoTags" minOccurs="0"/>
                <xsd:element ref="ns3:MediaServiceOCR" minOccurs="0"/>
                <xsd:element ref="ns3:MediaServiceGenerationTime" minOccurs="0"/>
                <xsd:element ref="ns3:MediaServiceEventHashCode" minOccurs="0"/>
                <xsd:element ref="ns3:STARref_x002e_number" minOccurs="0"/>
                <xsd:element ref="ns3:EngagementPartne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27de9-be9a-457f-a8ea-f1a38ea629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3e6d74e-d4b3-4bac-a5d3-ba2d424fcc3e}" ma:internalName="TaxCatchAll" ma:showField="CatchAllData" ma:web="7d427de9-be9a-457f-a8ea-f1a38ea629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91b15b-081b-4a88-847e-757ed3dfeb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DownloadStatus" ma:index="15" nillable="true" ma:displayName="Download Status" ma:default="New" ma:format="Dropdown" ma:internalName="DownloadStatus">
      <xsd:simpleType>
        <xsd:restriction base="dms:Choice">
          <xsd:enumeration value="New"/>
          <xsd:enumeration value="Downloaded"/>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STARref_x002e_number" ma:index="20" nillable="true" ma:displayName="STAR ref. number" ma:format="Dropdown" ma:internalName="STARref_x002e_number" ma:percentage="FALSE">
      <xsd:simpleType>
        <xsd:restriction base="dms:Number"/>
      </xsd:simpleType>
    </xsd:element>
    <xsd:element name="EngagementPartner" ma:index="21" nillable="true" ma:displayName="Partner" ma:format="Dropdown" ma:list="UserInfo" ma:SharePointGroup="0" ma:internalName="EngagementPart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307c655-a5ea-4e96-90aa-47045fc94d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Rref_x002e_number xmlns="8291b15b-081b-4a88-847e-757ed3dfeb31" xsi:nil="true"/>
    <lcf76f155ced4ddcb4097134ff3c332f xmlns="8291b15b-081b-4a88-847e-757ed3dfeb31">
      <Terms xmlns="http://schemas.microsoft.com/office/infopath/2007/PartnerControls"/>
    </lcf76f155ced4ddcb4097134ff3c332f>
    <EngagementPartner xmlns="8291b15b-081b-4a88-847e-757ed3dfeb31">
      <UserInfo>
        <DisplayName/>
        <AccountId xsi:nil="true"/>
        <AccountType/>
      </UserInfo>
    </EngagementPartner>
    <TaxCatchAll xmlns="7d427de9-be9a-457f-a8ea-f1a38ea62966" xsi:nil="true"/>
    <DownloadStatus xmlns="8291b15b-081b-4a88-847e-757ed3dfeb31">New</DownloadStatus>
    <_Flow_SignoffStatus xmlns="8291b15b-081b-4a88-847e-757ed3dfeb31" xsi:nil="true"/>
  </documentManagement>
</p:properties>
</file>

<file path=customXml/itemProps1.xml><?xml version="1.0" encoding="utf-8"?>
<ds:datastoreItem xmlns:ds="http://schemas.openxmlformats.org/officeDocument/2006/customXml" ds:itemID="{6AAC8F52-5595-43D1-A809-4BC074B09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27de9-be9a-457f-a8ea-f1a38ea62966"/>
    <ds:schemaRef ds:uri="8291b15b-081b-4a88-847e-757ed3dfe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721C1-23B4-48B8-A170-F3121787385C}">
  <ds:schemaRefs>
    <ds:schemaRef ds:uri="http://schemas.openxmlformats.org/officeDocument/2006/bibliography"/>
  </ds:schemaRefs>
</ds:datastoreItem>
</file>

<file path=customXml/itemProps3.xml><?xml version="1.0" encoding="utf-8"?>
<ds:datastoreItem xmlns:ds="http://schemas.openxmlformats.org/officeDocument/2006/customXml" ds:itemID="{EEE0432A-B499-44DF-A4AD-E4ED6EE5C4DF}">
  <ds:schemaRefs>
    <ds:schemaRef ds:uri="http://schemas.microsoft.com/sharepoint/v3/contenttype/forms"/>
  </ds:schemaRefs>
</ds:datastoreItem>
</file>

<file path=customXml/itemProps4.xml><?xml version="1.0" encoding="utf-8"?>
<ds:datastoreItem xmlns:ds="http://schemas.openxmlformats.org/officeDocument/2006/customXml" ds:itemID="{66C8BB46-6314-4816-AC54-8993D7B3B2BA}">
  <ds:schemaRefs>
    <ds:schemaRef ds:uri="http://schemas.microsoft.com/office/2006/metadata/properties"/>
    <ds:schemaRef ds:uri="http://schemas.microsoft.com/office/infopath/2007/PartnerControls"/>
    <ds:schemaRef ds:uri="8291b15b-081b-4a88-847e-757ed3dfeb31"/>
    <ds:schemaRef ds:uri="7d427de9-be9a-457f-a8ea-f1a38ea6296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10640</Words>
  <Characters>60652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 CEO</dc:creator>
  <cp:keywords/>
  <dc:description/>
  <cp:lastModifiedBy>Ron Little</cp:lastModifiedBy>
  <cp:revision>6</cp:revision>
  <cp:lastPrinted>2024-04-11T16:23:00Z</cp:lastPrinted>
  <dcterms:created xsi:type="dcterms:W3CDTF">2024-04-17T14:24:00Z</dcterms:created>
  <dcterms:modified xsi:type="dcterms:W3CDTF">2024-04-17T21:15:00Z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Adobe Acrobat Pro DC 20.6.20042</vt:lpwstr>
  </property>
  <property fmtid="{D5CDD505-2E9C-101B-9397-08002B2CF9AE}" pid="4" name="LastSaved">
    <vt:filetime>2020-05-14T00:00:00Z</vt:filetime>
  </property>
  <property fmtid="{D5CDD505-2E9C-101B-9397-08002B2CF9AE}" pid="5" name="ContentTypeId">
    <vt:lpwstr>0x0101001355DCE0D458264395BCA585A05246F3</vt:lpwstr>
  </property>
  <property fmtid="{D5CDD505-2E9C-101B-9397-08002B2CF9AE}" pid="6" name="MSIP_Label_827c0209-0049-4fa3-802d-b18399cd3e3b_Enabled">
    <vt:lpwstr>true</vt:lpwstr>
  </property>
  <property fmtid="{D5CDD505-2E9C-101B-9397-08002B2CF9AE}" pid="7" name="MSIP_Label_827c0209-0049-4fa3-802d-b18399cd3e3b_SetDate">
    <vt:lpwstr>2022-04-12T19:28:32Z</vt:lpwstr>
  </property>
  <property fmtid="{D5CDD505-2E9C-101B-9397-08002B2CF9AE}" pid="8" name="MSIP_Label_827c0209-0049-4fa3-802d-b18399cd3e3b_Method">
    <vt:lpwstr>Standard</vt:lpwstr>
  </property>
  <property fmtid="{D5CDD505-2E9C-101B-9397-08002B2CF9AE}" pid="9" name="MSIP_Label_827c0209-0049-4fa3-802d-b18399cd3e3b_Name">
    <vt:lpwstr>Public - test</vt:lpwstr>
  </property>
  <property fmtid="{D5CDD505-2E9C-101B-9397-08002B2CF9AE}" pid="10" name="MSIP_Label_827c0209-0049-4fa3-802d-b18399cd3e3b_SiteId">
    <vt:lpwstr>296ae229-6f10-4f4a-a0d6-f390ed73d8e3</vt:lpwstr>
  </property>
  <property fmtid="{D5CDD505-2E9C-101B-9397-08002B2CF9AE}" pid="11" name="MSIP_Label_827c0209-0049-4fa3-802d-b18399cd3e3b_ActionId">
    <vt:lpwstr>5d6e88d6-026e-4126-bbb4-467599b822e3</vt:lpwstr>
  </property>
  <property fmtid="{D5CDD505-2E9C-101B-9397-08002B2CF9AE}" pid="12" name="MSIP_Label_827c0209-0049-4fa3-802d-b18399cd3e3b_ContentBits">
    <vt:lpwstr>0</vt:lpwstr>
  </property>
</Properties>
</file>